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53EE" w14:textId="77777777" w:rsidR="00E95E89" w:rsidRDefault="0043783B">
      <w:pPr>
        <w:spacing w:line="276" w:lineRule="auto"/>
        <w:rPr>
          <w:rFonts w:ascii="AKIRAEXPANDED-SUPERBOLD" w:eastAsia="AKIRAEXPANDED-SUPERBOLD" w:hAnsi="AKIRAEXPANDED-SUPERBOLD" w:cs="AKIRAEXPANDED-SUPERBOLD"/>
          <w:b/>
          <w:sz w:val="42"/>
          <w:szCs w:val="42"/>
        </w:rPr>
      </w:pPr>
      <w:r>
        <w:rPr>
          <w:rFonts w:ascii="AKIRAEXPANDED-SUPERBOLD" w:eastAsia="AKIRAEXPANDED-SUPERBOLD" w:hAnsi="AKIRAEXPANDED-SUPERBOLD" w:cs="AKIRAEXPANDED-SUPERBOLD"/>
          <w:b/>
          <w:sz w:val="42"/>
          <w:szCs w:val="42"/>
        </w:rPr>
        <w:t>Involve Your Audience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2607D02" wp14:editId="4AA877F6">
            <wp:simplePos x="0" y="0"/>
            <wp:positionH relativeFrom="column">
              <wp:posOffset>2712720</wp:posOffset>
            </wp:positionH>
            <wp:positionV relativeFrom="paragraph">
              <wp:posOffset>-1933572</wp:posOffset>
            </wp:positionV>
            <wp:extent cx="1253490" cy="1263243"/>
            <wp:effectExtent l="0" t="0" r="0" b="0"/>
            <wp:wrapNone/>
            <wp:docPr id="26" name="image1.png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, circ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6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F99A5D" w14:textId="77777777" w:rsidR="00E95E89" w:rsidRPr="00452C86" w:rsidRDefault="00E95E89">
      <w:pPr>
        <w:spacing w:line="276" w:lineRule="auto"/>
        <w:rPr>
          <w:rFonts w:ascii="Helvetica Neue" w:eastAsia="Helvetica Neue" w:hAnsi="Helvetica Neue" w:cs="Helvetica Neue"/>
          <w:sz w:val="21"/>
          <w:szCs w:val="21"/>
        </w:rPr>
      </w:pPr>
    </w:p>
    <w:p w14:paraId="05A3D7E0" w14:textId="6FF39D68" w:rsidR="00E95E89" w:rsidRDefault="0043783B">
      <w:pPr>
        <w:spacing w:line="276" w:lineRule="auto"/>
      </w:pPr>
      <w:r>
        <w:rPr>
          <w:rFonts w:ascii="Helvetica Neue" w:eastAsia="Helvetica Neue" w:hAnsi="Helvetica Neue" w:cs="Helvetica Neue"/>
        </w:rPr>
        <w:t xml:space="preserve">Theatre can influence the behaviour of its audiences through education and incentivisation. Since audiences far outnumber the number of people creating a show (we hope!) it’s important to consider the environmental impact of your attendees as well as your </w:t>
      </w:r>
      <w:r>
        <w:rPr>
          <w:rFonts w:ascii="Helvetica Neue" w:eastAsia="Helvetica Neue" w:hAnsi="Helvetica Neue" w:cs="Helvetica Neue"/>
        </w:rPr>
        <w:t xml:space="preserve">team. There are myriad ways to involve your audience in your project’s sustainability goals, including transportation, </w:t>
      </w:r>
      <w:r w:rsidR="00452C86">
        <w:rPr>
          <w:rFonts w:ascii="Helvetica Neue" w:eastAsia="Helvetica Neue" w:hAnsi="Helvetica Neue" w:cs="Helvetica Neue"/>
        </w:rPr>
        <w:t>donations</w:t>
      </w:r>
      <w:r>
        <w:rPr>
          <w:rFonts w:ascii="Helvetica Neue" w:eastAsia="Helvetica Neue" w:hAnsi="Helvetica Neue" w:cs="Helvetica Neue"/>
        </w:rPr>
        <w:t>, and education.</w:t>
      </w:r>
    </w:p>
    <w:p w14:paraId="799D6A0A" w14:textId="77777777" w:rsidR="00E95E89" w:rsidRDefault="00E95E89">
      <w:pPr>
        <w:spacing w:line="276" w:lineRule="auto"/>
        <w:rPr>
          <w:rFonts w:ascii="Helvetica Neue" w:eastAsia="Helvetica Neue" w:hAnsi="Helvetica Neue" w:cs="Helvetica Neue"/>
          <w:b/>
        </w:rPr>
      </w:pPr>
    </w:p>
    <w:p w14:paraId="26F9EE48" w14:textId="77777777" w:rsidR="00E95E89" w:rsidRPr="00452C86" w:rsidRDefault="0043783B" w:rsidP="00452C86">
      <w:pPr>
        <w:spacing w:line="276" w:lineRule="auto"/>
        <w:rPr>
          <w:rFonts w:ascii="AKIRAEXPANDED-SUPERBOLD" w:eastAsia="AKIRAEXPANDED-SUPERBOLD" w:hAnsi="AKIRAEXPANDED-SUPERBOLD" w:cs="AKIRAEXPANDED-SUPERBOLD"/>
          <w:b/>
          <w:sz w:val="28"/>
          <w:szCs w:val="28"/>
        </w:rPr>
      </w:pPr>
      <w:r w:rsidRPr="00452C86">
        <w:rPr>
          <w:rFonts w:ascii="AKIRAEXPANDED-SUPERBOLD" w:eastAsia="AKIRAEXPANDED-SUPERBOLD" w:hAnsi="AKIRAEXPANDED-SUPERBOLD" w:cs="AKIRAEXPANDED-SUPERBOLD"/>
          <w:b/>
          <w:sz w:val="28"/>
          <w:szCs w:val="28"/>
        </w:rPr>
        <w:t xml:space="preserve">Use incentives for </w:t>
      </w:r>
      <w:r w:rsidRPr="00452C86">
        <w:rPr>
          <w:rFonts w:ascii="Times New Roman" w:eastAsia="AKIRAEXPANDED-SUPERBOLD" w:hAnsi="Times New Roman" w:cs="Times New Roman"/>
          <w:b/>
          <w:sz w:val="28"/>
          <w:szCs w:val="28"/>
        </w:rPr>
        <w:t>‘</w:t>
      </w:r>
      <w:r w:rsidRPr="00452C86">
        <w:rPr>
          <w:rFonts w:ascii="AKIRAEXPANDED-SUPERBOLD" w:eastAsia="AKIRAEXPANDED-SUPERBOLD" w:hAnsi="AKIRAEXPANDED-SUPERBOLD" w:cs="AKIRAEXPANDED-SUPERBOLD"/>
          <w:b/>
          <w:sz w:val="28"/>
          <w:szCs w:val="28"/>
        </w:rPr>
        <w:t>green transport</w:t>
      </w:r>
      <w:r w:rsidRPr="00452C86">
        <w:rPr>
          <w:rFonts w:ascii="Times New Roman" w:eastAsia="AKIRAEXPANDED-SUPERBOLD" w:hAnsi="Times New Roman" w:cs="Times New Roman"/>
          <w:b/>
          <w:sz w:val="28"/>
          <w:szCs w:val="28"/>
        </w:rPr>
        <w:t>’</w:t>
      </w:r>
    </w:p>
    <w:p w14:paraId="5D370251" w14:textId="77777777" w:rsidR="00E95E89" w:rsidRDefault="004378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Audience travel generally accounts for the largest portion of the</w:t>
      </w:r>
      <w:r>
        <w:rPr>
          <w:rFonts w:ascii="Helvetica Neue" w:eastAsia="Helvetica Neue" w:hAnsi="Helvetica Neue" w:cs="Helvetica Neue"/>
        </w:rPr>
        <w:t xml:space="preserve"> emissions footprint of an event or venue. Encouraging green travel options will make a huge difference. </w:t>
      </w:r>
    </w:p>
    <w:p w14:paraId="2260C62D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Some Australian presenters and venues offer discounts at the ticket point of sale for audience members who commit to not travelling to/from the venue </w:t>
      </w:r>
      <w:r>
        <w:rPr>
          <w:rFonts w:ascii="Helvetica Neue" w:eastAsia="Helvetica Neue" w:hAnsi="Helvetica Neue" w:cs="Helvetica Neue"/>
        </w:rPr>
        <w:t xml:space="preserve">via car. If your venue doesn’t already do this, ask if they’d be open to doing so for your production, and have a discussion with them about the environmental benefits. </w:t>
      </w:r>
    </w:p>
    <w:p w14:paraId="759F83A3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If this isn’t possible, then there are other incentives you can offer—a thank you mess</w:t>
      </w:r>
      <w:r>
        <w:rPr>
          <w:rFonts w:ascii="Helvetica Neue" w:eastAsia="Helvetica Neue" w:hAnsi="Helvetica Neue" w:cs="Helvetica Neue"/>
        </w:rPr>
        <w:t>age from the team on social media, or maybe priority seating.</w:t>
      </w:r>
    </w:p>
    <w:p w14:paraId="0389F583" w14:textId="77777777" w:rsidR="00E95E89" w:rsidRDefault="00E95E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Helvetica Neue" w:eastAsia="Helvetica Neue" w:hAnsi="Helvetica Neue" w:cs="Helvetica Neue"/>
        </w:rPr>
      </w:pPr>
    </w:p>
    <w:p w14:paraId="5E9C4847" w14:textId="77777777" w:rsidR="00E95E89" w:rsidRPr="00452C86" w:rsidRDefault="0043783B">
      <w:pPr>
        <w:spacing w:line="276" w:lineRule="auto"/>
        <w:rPr>
          <w:rFonts w:ascii="AKIRAEXPANDED-SUPERBOLD" w:eastAsia="AKIRAEXPANDED-SUPERBOLD" w:hAnsi="AKIRAEXPANDED-SUPERBOLD" w:cs="AKIRAEXPANDED-SUPERBOLD"/>
          <w:b/>
          <w:sz w:val="28"/>
          <w:szCs w:val="28"/>
        </w:rPr>
      </w:pPr>
      <w:r w:rsidRPr="00452C86">
        <w:rPr>
          <w:rFonts w:ascii="AKIRAEXPANDED-SUPERBOLD" w:eastAsia="AKIRAEXPANDED-SUPERBOLD" w:hAnsi="AKIRAEXPANDED-SUPERBOLD" w:cs="AKIRAEXPANDED-SUPERBOLD"/>
          <w:b/>
          <w:sz w:val="28"/>
          <w:szCs w:val="28"/>
        </w:rPr>
        <w:t>Ask for your audience’s help</w:t>
      </w:r>
    </w:p>
    <w:p w14:paraId="2C8DB3A5" w14:textId="77777777" w:rsidR="00E95E89" w:rsidRDefault="0043783B">
      <w:p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Though it may seem unexpected, this can both engage your audience early, and help lower your environmental footprint.</w:t>
      </w:r>
    </w:p>
    <w:p w14:paraId="53319157" w14:textId="77777777" w:rsidR="00E95E89" w:rsidRDefault="0043783B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Try reaching out during pre-production for help sourcing materials, or even philanthropic support to help your team make greener choices. </w:t>
      </w:r>
    </w:p>
    <w:p w14:paraId="2FA18CA0" w14:textId="77777777" w:rsidR="00E95E89" w:rsidRDefault="0043783B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Create an </w:t>
      </w:r>
      <w:hyperlink r:id="rId9">
        <w:r>
          <w:rPr>
            <w:rFonts w:ascii="Helvetica Neue" w:eastAsia="Helvetica Neue" w:hAnsi="Helvetica Neue" w:cs="Helvetica Neue"/>
            <w:color w:val="1155CC"/>
            <w:u w:val="single"/>
          </w:rPr>
          <w:t>emissions estimate</w:t>
        </w:r>
      </w:hyperlink>
      <w:r>
        <w:rPr>
          <w:rFonts w:ascii="Helvetica Neue" w:eastAsia="Helvetica Neue" w:hAnsi="Helvetica Neue" w:cs="Helvetica Neue"/>
        </w:rPr>
        <w:t xml:space="preserve"> for your show and offer your aud</w:t>
      </w:r>
      <w:r>
        <w:rPr>
          <w:rFonts w:ascii="Helvetica Neue" w:eastAsia="Helvetica Neue" w:hAnsi="Helvetica Neue" w:cs="Helvetica Neue"/>
        </w:rPr>
        <w:t xml:space="preserve">ience the chance to help contribute to offsetting this. An optional donation at point of sale or a QR code in the foyer that links to a platform like </w:t>
      </w:r>
      <w:hyperlink r:id="rId10">
        <w:r>
          <w:rPr>
            <w:rFonts w:ascii="Helvetica Neue" w:eastAsia="Helvetica Neue" w:hAnsi="Helvetica Neue" w:cs="Helvetica Neue"/>
            <w:color w:val="0563C1"/>
            <w:u w:val="single"/>
          </w:rPr>
          <w:t>Raisely</w:t>
        </w:r>
      </w:hyperlink>
      <w:r>
        <w:rPr>
          <w:rFonts w:ascii="Helvetica Neue" w:eastAsia="Helvetica Neue" w:hAnsi="Helvetica Neue" w:cs="Helvetica Neue"/>
          <w:color w:val="0563C1"/>
        </w:rPr>
        <w:t xml:space="preserve"> </w:t>
      </w:r>
      <w:r>
        <w:rPr>
          <w:rFonts w:ascii="Helvetica Neue" w:eastAsia="Helvetica Neue" w:hAnsi="Helvetica Neue" w:cs="Helvetica Neue"/>
        </w:rPr>
        <w:t>are some options.</w:t>
      </w:r>
    </w:p>
    <w:p w14:paraId="639C9DAE" w14:textId="77777777" w:rsidR="00E95E89" w:rsidRDefault="00E95E89">
      <w:pPr>
        <w:spacing w:line="276" w:lineRule="auto"/>
        <w:rPr>
          <w:rFonts w:ascii="Helvetica Neue" w:eastAsia="Helvetica Neue" w:hAnsi="Helvetica Neue" w:cs="Helvetica Neue"/>
          <w:color w:val="000000"/>
        </w:rPr>
      </w:pPr>
    </w:p>
    <w:p w14:paraId="0A5A07F6" w14:textId="77777777" w:rsidR="00E95E89" w:rsidRDefault="0043783B">
      <w:pPr>
        <w:spacing w:line="276" w:lineRule="auto"/>
        <w:rPr>
          <w:rFonts w:ascii="AKIRAEXPANDED-SUPERBOLD" w:eastAsia="AKIRAEXPANDED-SUPERBOLD" w:hAnsi="AKIRAEXPANDED-SUPERBOLD" w:cs="AKIRAEXPANDED-SUPERBOLD"/>
        </w:rPr>
      </w:pPr>
      <w:r w:rsidRPr="00452C86">
        <w:rPr>
          <w:rFonts w:ascii="AKIRAEXPANDED-SUPERBOLD" w:eastAsia="AKIRAEXPANDED-SUPERBOLD" w:hAnsi="AKIRAEXPANDED-SUPERBOLD" w:cs="AKIRAEXPANDED-SUPERBOLD"/>
          <w:b/>
          <w:sz w:val="28"/>
          <w:szCs w:val="28"/>
        </w:rPr>
        <w:t>Be loud and proud</w:t>
      </w:r>
    </w:p>
    <w:p w14:paraId="3AF0237C" w14:textId="77777777" w:rsidR="00E95E89" w:rsidRDefault="0043783B">
      <w:p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Don’t be afraid to use your platform to educate and inform. </w:t>
      </w:r>
    </w:p>
    <w:p w14:paraId="298E31F3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Share how your sustainability goals are tracking and make it part of your marketing strategy. </w:t>
      </w:r>
    </w:p>
    <w:p w14:paraId="4F1F1251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 honest—if you don’t achieve a goal, tell people, and suggest what could be done differently. Sust</w:t>
      </w:r>
      <w:r>
        <w:rPr>
          <w:rFonts w:ascii="Helvetica Neue" w:eastAsia="Helvetica Neue" w:hAnsi="Helvetica Neue" w:cs="Helvetica Neue"/>
        </w:rPr>
        <w:t>ainability is a learning experience for everyone.</w:t>
      </w:r>
    </w:p>
    <w:p w14:paraId="760E7B80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Explain your reasoning for your sustainable practices. If people understand the positive impacts of their own everyday actions, they’re more likely to get on board.</w:t>
      </w:r>
    </w:p>
    <w:p w14:paraId="24A4C1AE" w14:textId="77777777" w:rsidR="00E95E89" w:rsidRDefault="00437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Keep your messaging simple and concise. B</w:t>
      </w:r>
      <w:r>
        <w:rPr>
          <w:rFonts w:ascii="Helvetica Neue" w:eastAsia="Helvetica Neue" w:hAnsi="Helvetica Neue" w:cs="Helvetica Neue"/>
        </w:rPr>
        <w:t xml:space="preserve">e specific in how your audience can engage, and emphasise the impact they can have. </w:t>
      </w:r>
    </w:p>
    <w:p w14:paraId="5FA70481" w14:textId="77777777" w:rsidR="00E95E89" w:rsidRDefault="00E95E89">
      <w:pPr>
        <w:spacing w:line="276" w:lineRule="auto"/>
        <w:rPr>
          <w:rFonts w:ascii="Helvetica Neue" w:eastAsia="Helvetica Neue" w:hAnsi="Helvetica Neue" w:cs="Helvetica Neue"/>
        </w:rPr>
      </w:pPr>
    </w:p>
    <w:p w14:paraId="3701D9FE" w14:textId="77777777" w:rsidR="00452C86" w:rsidRPr="00B94EE2" w:rsidRDefault="00452C86" w:rsidP="00452C86">
      <w:pPr>
        <w:jc w:val="center"/>
        <w:rPr>
          <w:rFonts w:ascii="AKIRAEXPANDED-SUPERBOLD" w:eastAsia="AKIRAEXPANDED-SUPERBOLD" w:hAnsi="AKIRAEXPANDED-SUPERBOLD" w:cs="AKIRAEXPANDED-SUPERBOLD"/>
          <w:b/>
          <w:sz w:val="28"/>
          <w:szCs w:val="28"/>
        </w:rPr>
      </w:pPr>
      <w:r w:rsidRPr="00B94EE2">
        <w:rPr>
          <w:rFonts w:ascii="AKIRAEXPANDED-SUPERBOLD" w:eastAsia="AKIRAEXPANDED-SUPERBOLD" w:hAnsi="AKIRAEXPANDED-SUPERBOLD" w:cs="AKIRAEXPANDED-SUPERBOLD"/>
          <w:b/>
          <w:sz w:val="28"/>
          <w:szCs w:val="28"/>
        </w:rPr>
        <w:t>Get in touch</w:t>
      </w:r>
    </w:p>
    <w:p w14:paraId="5D14A4BC" w14:textId="77777777" w:rsidR="00452C86" w:rsidRDefault="00452C86" w:rsidP="00452C86">
      <w:pPr>
        <w:jc w:val="center"/>
        <w:rPr>
          <w:rFonts w:ascii="AKIRAEXPANDED-SUPERBOLD" w:eastAsia="AKIRAEXPANDED-SUPERBOLD" w:hAnsi="AKIRAEXPANDED-SUPERBOLD" w:cs="AKIRAEXPANDED-SUPERBOLD"/>
        </w:rPr>
      </w:pPr>
      <w:r w:rsidRPr="00B94EE2">
        <w:rPr>
          <w:rFonts w:ascii="AKIRAEXPANDED-SUPERBOLD" w:eastAsia="AKIRAEXPANDED-SUPERBOLD" w:hAnsi="AKIRAEXPANDED-SUPERBOLD" w:cs="AKIRAEXPANDED-SUPERBOLD"/>
        </w:rPr>
        <w:t>Website</w:t>
      </w:r>
    </w:p>
    <w:p w14:paraId="7C00BABA" w14:textId="77777777" w:rsidR="00452C86" w:rsidRPr="00B94EE2" w:rsidRDefault="00452C86" w:rsidP="00452C86">
      <w:pPr>
        <w:jc w:val="center"/>
        <w:rPr>
          <w:rFonts w:ascii="AKIRAEXPANDED-SUPERBOLD" w:eastAsia="AKIRAEXPANDED-SUPERBOLD" w:hAnsi="AKIRAEXPANDED-SUPERBOLD" w:cs="AKIRAEXPANDED-SUPERBOLD"/>
        </w:rPr>
      </w:pPr>
      <w:hyperlink r:id="rId11" w:history="1">
        <w:r w:rsidRPr="009640F0">
          <w:rPr>
            <w:rStyle w:val="Hyperlink"/>
            <w:rFonts w:ascii="Helvetica Neue" w:eastAsia="Helvetica Neue" w:hAnsi="Helvetica Neue" w:cs="Helvetica Neue"/>
          </w:rPr>
          <w:t>https://sustainabletheatresaustralia.org/</w:t>
        </w:r>
      </w:hyperlink>
    </w:p>
    <w:p w14:paraId="43086A21" w14:textId="77777777" w:rsidR="00452C86" w:rsidRDefault="00452C86" w:rsidP="00452C86">
      <w:pPr>
        <w:jc w:val="center"/>
        <w:rPr>
          <w:rFonts w:ascii="AKIRAEXPANDED-SUPERBOLD" w:eastAsia="AKIRAEXPANDED-SUPERBOLD" w:hAnsi="AKIRAEXPANDED-SUPERBOLD" w:cs="AKIRAEXPANDED-SUPERBOLD"/>
        </w:rPr>
      </w:pPr>
      <w:r w:rsidRPr="00B94EE2">
        <w:rPr>
          <w:rFonts w:ascii="AKIRAEXPANDED-SUPERBOLD" w:eastAsia="AKIRAEXPANDED-SUPERBOLD" w:hAnsi="AKIRAEXPANDED-SUPERBOLD" w:cs="AKIRAEXPANDED-SUPERBOLD"/>
        </w:rPr>
        <w:t>Email</w:t>
      </w:r>
    </w:p>
    <w:p w14:paraId="24F266DA" w14:textId="15B14901" w:rsidR="00E95E89" w:rsidRPr="00452C86" w:rsidRDefault="00452C86" w:rsidP="00452C86">
      <w:pPr>
        <w:jc w:val="center"/>
        <w:rPr>
          <w:rFonts w:ascii="AKIRAEXPANDED-SUPERBOLD" w:eastAsia="AKIRAEXPANDED-SUPERBOLD" w:hAnsi="AKIRAEXPANDED-SUPERBOLD" w:cs="AKIRAEXPANDED-SUPERBOLD"/>
          <w:sz w:val="40"/>
          <w:szCs w:val="40"/>
        </w:rPr>
      </w:pPr>
      <w:hyperlink r:id="rId12" w:history="1">
        <w:r w:rsidRPr="009640F0">
          <w:rPr>
            <w:rStyle w:val="Hyperlink"/>
            <w:rFonts w:ascii="Helvetica Neue" w:eastAsia="Helvetica Neue" w:hAnsi="Helvetica Neue" w:cs="Helvetica Neue"/>
          </w:rPr>
          <w:t>https://sustainabletheatresaustralia.org/#:~:text=sustainable.the</w:t>
        </w:r>
        <w:r w:rsidRPr="009640F0">
          <w:rPr>
            <w:rStyle w:val="Hyperlink"/>
            <w:rFonts w:ascii="Helvetica Neue" w:eastAsia="Helvetica Neue" w:hAnsi="Helvetica Neue" w:cs="Helvetica Neue"/>
          </w:rPr>
          <w:t>a</w:t>
        </w:r>
        <w:r w:rsidRPr="009640F0">
          <w:rPr>
            <w:rStyle w:val="Hyperlink"/>
            <w:rFonts w:ascii="Helvetica Neue" w:eastAsia="Helvetica Neue" w:hAnsi="Helvetica Neue" w:cs="Helvetica Neue"/>
          </w:rPr>
          <w:t>tres.aus%40gmail.com</w:t>
        </w:r>
      </w:hyperlink>
    </w:p>
    <w:sectPr w:rsidR="00E95E89" w:rsidRPr="00452C86">
      <w:footerReference w:type="default" r:id="rId13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05FA" w14:textId="77777777" w:rsidR="0043783B" w:rsidRDefault="0043783B">
      <w:r>
        <w:separator/>
      </w:r>
    </w:p>
  </w:endnote>
  <w:endnote w:type="continuationSeparator" w:id="0">
    <w:p w14:paraId="138B7209" w14:textId="77777777" w:rsidR="0043783B" w:rsidRDefault="0043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IRAEXPANDED-SUPERBOLD">
    <w:panose1 w:val="020008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4C31" w14:textId="77777777" w:rsidR="00E95E89" w:rsidRDefault="0043783B">
    <w:pPr>
      <w:rPr>
        <w:b/>
        <w:sz w:val="20"/>
        <w:szCs w:val="20"/>
      </w:rPr>
    </w:pPr>
    <w:r>
      <w:rPr>
        <w:b/>
        <w:sz w:val="20"/>
        <w:szCs w:val="20"/>
      </w:rPr>
      <w:t>Sources</w:t>
    </w:r>
  </w:p>
  <w:p w14:paraId="5C60BF2D" w14:textId="77777777" w:rsidR="00E95E89" w:rsidRDefault="0043783B" w:rsidP="00452C86">
    <w:pPr>
      <w:ind w:left="284" w:hanging="284"/>
      <w:rPr>
        <w:sz w:val="20"/>
        <w:szCs w:val="20"/>
      </w:rPr>
    </w:pPr>
    <w:r>
      <w:rPr>
        <w:sz w:val="20"/>
        <w:szCs w:val="20"/>
      </w:rPr>
      <w:t xml:space="preserve">Julie’s Bicycle (2015). “Julie’s Bicycle Practical Guide: Audience Travel”. Accessed 5/2/22.  URL: </w:t>
    </w:r>
    <w:hyperlink r:id="rId1">
      <w:r>
        <w:rPr>
          <w:color w:val="1155CC"/>
          <w:sz w:val="20"/>
          <w:szCs w:val="20"/>
          <w:u w:val="single"/>
        </w:rPr>
        <w:t>https://juliesbicycle.com/wp-content/uploads/2019/10/A</w:t>
      </w:r>
      <w:r>
        <w:rPr>
          <w:color w:val="1155CC"/>
          <w:sz w:val="20"/>
          <w:szCs w:val="20"/>
          <w:u w:val="single"/>
        </w:rPr>
        <w:t>udience_travel_guide_2015.pdf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A76B" w14:textId="77777777" w:rsidR="0043783B" w:rsidRDefault="0043783B">
      <w:r>
        <w:separator/>
      </w:r>
    </w:p>
  </w:footnote>
  <w:footnote w:type="continuationSeparator" w:id="0">
    <w:p w14:paraId="03606BB1" w14:textId="77777777" w:rsidR="0043783B" w:rsidRDefault="0043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2BC0"/>
    <w:multiLevelType w:val="multilevel"/>
    <w:tmpl w:val="4A308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B3770A"/>
    <w:multiLevelType w:val="multilevel"/>
    <w:tmpl w:val="2FA2D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9"/>
    <w:rsid w:val="0043783B"/>
    <w:rsid w:val="00452C86"/>
    <w:rsid w:val="00E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CF5F"/>
  <w15:docId w15:val="{987ADF2F-8B94-6947-A64E-0D512E4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2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3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B5C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86"/>
  </w:style>
  <w:style w:type="paragraph" w:styleId="Footer">
    <w:name w:val="footer"/>
    <w:basedOn w:val="Normal"/>
    <w:link w:val="FooterChar"/>
    <w:uiPriority w:val="99"/>
    <w:unhideWhenUsed/>
    <w:rsid w:val="0045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stainabletheatresaustralia.org/#:~:text=sustainable.theatres.aus%40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letheatresaustral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ise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liesbicycle.com/report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liesbicycle.com/wp-content/uploads/2019/10/Audience_travel_guide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3Nhtk6RCiVDuiJbLA8KABZmXw==">AMUW2mX7wLTYFcgtp0njxhoOx57sS4/iAK5h8pr7LfIs6sMJmjASUphus4acV3jMPVS0uRiG7r8xz3O0qQkFH/TQkulmWmWO2M6bbDGVCp8TjrJTghxdNRI=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Collins</dc:creator>
  <cp:lastModifiedBy>Christian Taylor</cp:lastModifiedBy>
  <cp:revision>2</cp:revision>
  <dcterms:created xsi:type="dcterms:W3CDTF">2021-10-06T11:47:00Z</dcterms:created>
  <dcterms:modified xsi:type="dcterms:W3CDTF">2022-02-18T05:57:00Z</dcterms:modified>
</cp:coreProperties>
</file>