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3D5B" w14:textId="77777777" w:rsidR="00E530AE" w:rsidRDefault="00B44B36">
      <w:pPr>
        <w:spacing w:line="276" w:lineRule="auto"/>
        <w:rPr>
          <w:rFonts w:ascii="AKIRAEXPANDED-SUPERBOLD" w:eastAsia="AKIRAEXPANDED-SUPERBOLD" w:hAnsi="AKIRAEXPANDED-SUPERBOLD" w:cs="AKIRAEXPANDED-SUPERBOLD"/>
          <w:b/>
          <w:color w:val="000000"/>
          <w:sz w:val="42"/>
          <w:szCs w:val="42"/>
        </w:rPr>
      </w:pPr>
      <w:r>
        <w:rPr>
          <w:rFonts w:ascii="AKIRAEXPANDED-SUPERBOLD" w:eastAsia="AKIRAEXPANDED-SUPERBOLD" w:hAnsi="AKIRAEXPANDED-SUPERBOLD" w:cs="AKIRAEXPANDED-SUPERBOLD"/>
          <w:b/>
          <w:color w:val="000000"/>
          <w:sz w:val="42"/>
          <w:szCs w:val="42"/>
        </w:rPr>
        <w:t>G</w:t>
      </w:r>
      <w:r>
        <w:rPr>
          <w:rFonts w:ascii="AKIRAEXPANDED-SUPERBOLD" w:eastAsia="AKIRAEXPANDED-SUPERBOLD" w:hAnsi="AKIRAEXPANDED-SUPERBOLD" w:cs="AKIRAEXPANDED-SUPERBOLD"/>
          <w:b/>
          <w:sz w:val="42"/>
          <w:szCs w:val="42"/>
        </w:rPr>
        <w:t>reen Your Marketing</w:t>
      </w:r>
      <w:r>
        <w:rPr>
          <w:noProof/>
        </w:rPr>
        <w:drawing>
          <wp:anchor distT="0" distB="0" distL="0" distR="0" simplePos="0" relativeHeight="251658240" behindDoc="1" locked="0" layoutInCell="1" hidden="0" allowOverlap="1" wp14:anchorId="742E2B0E" wp14:editId="2A369C91">
            <wp:simplePos x="0" y="0"/>
            <wp:positionH relativeFrom="column">
              <wp:posOffset>2712720</wp:posOffset>
            </wp:positionH>
            <wp:positionV relativeFrom="paragraph">
              <wp:posOffset>-1933572</wp:posOffset>
            </wp:positionV>
            <wp:extent cx="1253490" cy="1263243"/>
            <wp:effectExtent l="0" t="0" r="0" b="0"/>
            <wp:wrapNone/>
            <wp:docPr id="26"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p>
    <w:p w14:paraId="6277A2F9" w14:textId="77777777" w:rsidR="00E530AE" w:rsidRDefault="00E530AE">
      <w:pPr>
        <w:pBdr>
          <w:top w:val="nil"/>
          <w:left w:val="nil"/>
          <w:bottom w:val="nil"/>
          <w:right w:val="nil"/>
          <w:between w:val="nil"/>
        </w:pBdr>
        <w:spacing w:line="276" w:lineRule="auto"/>
        <w:rPr>
          <w:rFonts w:ascii="Helvetica Neue" w:eastAsia="Helvetica Neue" w:hAnsi="Helvetica Neue" w:cs="Helvetica Neue"/>
        </w:rPr>
      </w:pPr>
    </w:p>
    <w:p w14:paraId="22B41F46" w14:textId="77777777" w:rsidR="00E530AE" w:rsidRDefault="00B44B36">
      <w:p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Your marketing campaigns are one of the easiest areas to make more sustainable. Keeping the conversation around how you have adopted sustainable practices will not only encourage public dialogue around the importance of these choices, but will promote  it’</w:t>
      </w:r>
      <w:r>
        <w:rPr>
          <w:rFonts w:ascii="Helvetica Neue" w:eastAsia="Helvetica Neue" w:hAnsi="Helvetica Neue" w:cs="Helvetica Neue"/>
        </w:rPr>
        <w:t xml:space="preserve">s uptake as standard practice in our industry. </w:t>
      </w:r>
    </w:p>
    <w:p w14:paraId="73207AB9" w14:textId="77777777" w:rsidR="00E530AE" w:rsidRDefault="00E530AE">
      <w:pPr>
        <w:spacing w:line="276" w:lineRule="auto"/>
        <w:rPr>
          <w:rFonts w:ascii="Helvetica Neue" w:eastAsia="Helvetica Neue" w:hAnsi="Helvetica Neue" w:cs="Helvetica Neue"/>
          <w:color w:val="000000"/>
        </w:rPr>
      </w:pPr>
    </w:p>
    <w:p w14:paraId="4010F12F" w14:textId="77777777" w:rsidR="00E530AE" w:rsidRPr="00960F43" w:rsidRDefault="00B44B36">
      <w:pPr>
        <w:spacing w:line="276" w:lineRule="auto"/>
        <w:rPr>
          <w:rFonts w:ascii="AKIRAEXPANDED-SUPERBOLD" w:eastAsia="AKIRAEXPANDED-SUPERBOLD" w:hAnsi="AKIRAEXPANDED-SUPERBOLD" w:cs="AKIRAEXPANDED-SUPERBOLD"/>
          <w:b/>
          <w:sz w:val="28"/>
          <w:szCs w:val="28"/>
        </w:rPr>
      </w:pPr>
      <w:r w:rsidRPr="00960F43">
        <w:rPr>
          <w:rFonts w:ascii="AKIRAEXPANDED-SUPERBOLD" w:eastAsia="AKIRAEXPANDED-SUPERBOLD" w:hAnsi="AKIRAEXPANDED-SUPERBOLD" w:cs="AKIRAEXPANDED-SUPERBOLD"/>
          <w:b/>
          <w:sz w:val="28"/>
          <w:szCs w:val="28"/>
        </w:rPr>
        <w:t>Decrease your print collateral</w:t>
      </w:r>
    </w:p>
    <w:p w14:paraId="65017A27" w14:textId="77777777" w:rsidR="00E530AE" w:rsidRPr="000B2CC2" w:rsidRDefault="00B44B36">
      <w:p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Generally, digital advertising is cheaper and reaches more audience in a meaningful way. But if you have your heart set on posters or your venue requires it, here are a few tip</w:t>
      </w:r>
      <w:r w:rsidRPr="000B2CC2">
        <w:rPr>
          <w:rFonts w:ascii="Helvetica Neue" w:eastAsia="Helvetica Neue" w:hAnsi="Helvetica Neue" w:cs="Helvetica Neue"/>
          <w:sz w:val="22"/>
          <w:szCs w:val="22"/>
        </w:rPr>
        <w:t xml:space="preserve">s. </w:t>
      </w:r>
    </w:p>
    <w:p w14:paraId="04B82175" w14:textId="77777777" w:rsidR="00E530AE" w:rsidRPr="000B2CC2" w:rsidRDefault="00B44B36">
      <w:pPr>
        <w:numPr>
          <w:ilvl w:val="0"/>
          <w:numId w:val="5"/>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Print on 100% post-consumer recycled paper, using vegetable-based inks and alcohol-free printing processes where possible.</w:t>
      </w:r>
    </w:p>
    <w:p w14:paraId="26E83F93" w14:textId="77777777" w:rsidR="00E530AE" w:rsidRPr="000B2CC2" w:rsidRDefault="00B44B36">
      <w:pPr>
        <w:numPr>
          <w:ilvl w:val="0"/>
          <w:numId w:val="5"/>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 xml:space="preserve">Order realistic print runs, under order and print more if absolutely necessary. </w:t>
      </w:r>
    </w:p>
    <w:p w14:paraId="36DBBB7A" w14:textId="77777777" w:rsidR="00E530AE" w:rsidRPr="000B2CC2" w:rsidRDefault="00B44B36">
      <w:pPr>
        <w:numPr>
          <w:ilvl w:val="0"/>
          <w:numId w:val="5"/>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 xml:space="preserve">Rather than going through distribution centres, </w:t>
      </w:r>
      <w:r w:rsidRPr="000B2CC2">
        <w:rPr>
          <w:rFonts w:ascii="Helvetica Neue" w:eastAsia="Helvetica Neue" w:hAnsi="Helvetica Neue" w:cs="Helvetica Neue"/>
          <w:sz w:val="22"/>
          <w:szCs w:val="22"/>
        </w:rPr>
        <w:t>which often require a minimum amount of print runs, put your own flyers or posters up.</w:t>
      </w:r>
    </w:p>
    <w:p w14:paraId="26B3FF54" w14:textId="77777777" w:rsidR="00E530AE" w:rsidRDefault="00B44B36">
      <w:pPr>
        <w:numPr>
          <w:ilvl w:val="0"/>
          <w:numId w:val="5"/>
        </w:numPr>
        <w:spacing w:line="276" w:lineRule="auto"/>
        <w:rPr>
          <w:rFonts w:ascii="Helvetica Neue" w:eastAsia="Helvetica Neue" w:hAnsi="Helvetica Neue" w:cs="Helvetica Neue"/>
        </w:rPr>
      </w:pPr>
      <w:r w:rsidRPr="000B2CC2">
        <w:rPr>
          <w:rFonts w:ascii="Helvetica Neue" w:eastAsia="Helvetica Neue" w:hAnsi="Helvetica Neue" w:cs="Helvetica Neue"/>
          <w:sz w:val="22"/>
          <w:szCs w:val="22"/>
        </w:rPr>
        <w:t xml:space="preserve">Use a carbon neutral printer, like </w:t>
      </w:r>
      <w:hyperlink r:id="rId9">
        <w:r w:rsidRPr="000B2CC2">
          <w:rPr>
            <w:rFonts w:ascii="Helvetica Neue" w:eastAsia="Helvetica Neue" w:hAnsi="Helvetica Neue" w:cs="Helvetica Neue"/>
            <w:color w:val="1155CC"/>
            <w:sz w:val="22"/>
            <w:szCs w:val="22"/>
            <w:u w:val="single"/>
          </w:rPr>
          <w:t>Finsbury Green</w:t>
        </w:r>
      </w:hyperlink>
      <w:r w:rsidRPr="000B2CC2">
        <w:rPr>
          <w:rFonts w:ascii="Helvetica Neue" w:eastAsia="Helvetica Neue" w:hAnsi="Helvetica Neue" w:cs="Helvetica Neue"/>
          <w:sz w:val="22"/>
          <w:szCs w:val="22"/>
        </w:rPr>
        <w:t>.</w:t>
      </w:r>
      <w:r>
        <w:rPr>
          <w:rFonts w:ascii="Helvetica Neue" w:eastAsia="Helvetica Neue" w:hAnsi="Helvetica Neue" w:cs="Helvetica Neue"/>
        </w:rPr>
        <w:br/>
      </w:r>
    </w:p>
    <w:p w14:paraId="62570258" w14:textId="77777777" w:rsidR="00E530AE" w:rsidRPr="00960F43" w:rsidRDefault="00B44B36">
      <w:pPr>
        <w:spacing w:line="276" w:lineRule="auto"/>
        <w:rPr>
          <w:rFonts w:ascii="AKIRAEXPANDED-SUPERBOLD" w:eastAsia="AKIRAEXPANDED-SUPERBOLD" w:hAnsi="AKIRAEXPANDED-SUPERBOLD" w:cs="AKIRAEXPANDED-SUPERBOLD"/>
          <w:sz w:val="28"/>
          <w:szCs w:val="28"/>
        </w:rPr>
      </w:pPr>
      <w:r w:rsidRPr="00960F43">
        <w:rPr>
          <w:rFonts w:ascii="AKIRAEXPANDED-SUPERBOLD" w:eastAsia="AKIRAEXPANDED-SUPERBOLD" w:hAnsi="AKIRAEXPANDED-SUPERBOLD" w:cs="AKIRAEXPANDED-SUPERBOLD"/>
          <w:b/>
          <w:sz w:val="28"/>
          <w:szCs w:val="28"/>
        </w:rPr>
        <w:t>Transition to paperless ticketing</w:t>
      </w:r>
    </w:p>
    <w:p w14:paraId="3F01D916" w14:textId="77777777" w:rsidR="00E530AE" w:rsidRPr="000B2CC2" w:rsidRDefault="00B44B36">
      <w:pPr>
        <w:numPr>
          <w:ilvl w:val="0"/>
          <w:numId w:val="4"/>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Include messaging in ticket confirmatio</w:t>
      </w:r>
      <w:r w:rsidRPr="000B2CC2">
        <w:rPr>
          <w:rFonts w:ascii="Helvetica Neue" w:eastAsia="Helvetica Neue" w:hAnsi="Helvetica Neue" w:cs="Helvetica Neue"/>
          <w:sz w:val="22"/>
          <w:szCs w:val="22"/>
        </w:rPr>
        <w:t xml:space="preserve">ns that audiences only need to bring digital tickets, or confirmation of purchase. You may need to chat to your venue. </w:t>
      </w:r>
    </w:p>
    <w:p w14:paraId="44F20924" w14:textId="77777777" w:rsidR="00E530AE" w:rsidRDefault="00B44B36">
      <w:pPr>
        <w:numPr>
          <w:ilvl w:val="0"/>
          <w:numId w:val="4"/>
        </w:numPr>
        <w:spacing w:line="276" w:lineRule="auto"/>
        <w:rPr>
          <w:rFonts w:ascii="Helvetica Neue" w:eastAsia="Helvetica Neue" w:hAnsi="Helvetica Neue" w:cs="Helvetica Neue"/>
        </w:rPr>
      </w:pPr>
      <w:r w:rsidRPr="000B2CC2">
        <w:rPr>
          <w:rFonts w:ascii="Helvetica Neue" w:eastAsia="Helvetica Neue" w:hAnsi="Helvetica Neue" w:cs="Helvetica Neue"/>
          <w:sz w:val="22"/>
          <w:szCs w:val="22"/>
        </w:rPr>
        <w:t>For tickets purchased at the venue, use reusable tokens or a door list.</w:t>
      </w:r>
      <w:r w:rsidRPr="000B2CC2">
        <w:rPr>
          <w:rFonts w:ascii="Helvetica Neue" w:eastAsia="Helvetica Neue" w:hAnsi="Helvetica Neue" w:cs="Helvetica Neue"/>
        </w:rPr>
        <w:t xml:space="preserve"> </w:t>
      </w:r>
      <w:r>
        <w:rPr>
          <w:rFonts w:ascii="Helvetica Neue" w:eastAsia="Helvetica Neue" w:hAnsi="Helvetica Neue" w:cs="Helvetica Neue"/>
        </w:rPr>
        <w:br/>
      </w:r>
    </w:p>
    <w:p w14:paraId="1455965A" w14:textId="77777777" w:rsidR="00E530AE" w:rsidRPr="00960F43" w:rsidRDefault="00B44B36">
      <w:pPr>
        <w:spacing w:line="276" w:lineRule="auto"/>
        <w:rPr>
          <w:rFonts w:ascii="Helvetica Neue" w:eastAsia="Helvetica Neue" w:hAnsi="Helvetica Neue" w:cs="Helvetica Neue"/>
          <w:sz w:val="28"/>
          <w:szCs w:val="28"/>
        </w:rPr>
      </w:pPr>
      <w:r w:rsidRPr="00960F43">
        <w:rPr>
          <w:rFonts w:ascii="AKIRAEXPANDED-SUPERBOLD" w:eastAsia="AKIRAEXPANDED-SUPERBOLD" w:hAnsi="AKIRAEXPANDED-SUPERBOLD" w:cs="AKIRAEXPANDED-SUPERBOLD"/>
          <w:b/>
          <w:sz w:val="28"/>
          <w:szCs w:val="28"/>
        </w:rPr>
        <w:t>Go digital</w:t>
      </w:r>
    </w:p>
    <w:p w14:paraId="3275C03B" w14:textId="77777777" w:rsidR="00E530AE" w:rsidRPr="000B2CC2" w:rsidRDefault="00B44B36">
      <w:pPr>
        <w:numPr>
          <w:ilvl w:val="0"/>
          <w:numId w:val="1"/>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Create engaging digitally-led campaigns utilising s</w:t>
      </w:r>
      <w:r w:rsidRPr="000B2CC2">
        <w:rPr>
          <w:rFonts w:ascii="Helvetica Neue" w:eastAsia="Helvetica Neue" w:hAnsi="Helvetica Neue" w:cs="Helvetica Neue"/>
          <w:sz w:val="22"/>
          <w:szCs w:val="22"/>
        </w:rPr>
        <w:t xml:space="preserve">ocial media, digital display and cross-promotional media. </w:t>
      </w:r>
    </w:p>
    <w:p w14:paraId="6A5C607D" w14:textId="77777777" w:rsidR="00E530AE" w:rsidRPr="000B2CC2" w:rsidRDefault="00B44B36">
      <w:pPr>
        <w:numPr>
          <w:ilvl w:val="0"/>
          <w:numId w:val="1"/>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 xml:space="preserve">Create </w:t>
      </w:r>
      <w:proofErr w:type="spellStart"/>
      <w:r w:rsidRPr="000B2CC2">
        <w:rPr>
          <w:rFonts w:ascii="Helvetica Neue" w:eastAsia="Helvetica Neue" w:hAnsi="Helvetica Neue" w:cs="Helvetica Neue"/>
          <w:sz w:val="22"/>
          <w:szCs w:val="22"/>
        </w:rPr>
        <w:t>a</w:t>
      </w:r>
      <w:proofErr w:type="spellEnd"/>
      <w:r w:rsidRPr="000B2CC2">
        <w:rPr>
          <w:rFonts w:ascii="Helvetica Neue" w:eastAsia="Helvetica Neue" w:hAnsi="Helvetica Neue" w:cs="Helvetica Neue"/>
          <w:sz w:val="22"/>
          <w:szCs w:val="22"/>
        </w:rPr>
        <w:t xml:space="preserve"> online show programme accessible via QR-code or email. </w:t>
      </w:r>
    </w:p>
    <w:p w14:paraId="74EE7911" w14:textId="77777777" w:rsidR="00E530AE" w:rsidRPr="000B2CC2" w:rsidRDefault="00B44B36">
      <w:pPr>
        <w:numPr>
          <w:ilvl w:val="0"/>
          <w:numId w:val="1"/>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Make noise on socials about your sustainability goals throughout your production with announcements, targets achieved, and enthusiastic words from the team.</w:t>
      </w:r>
    </w:p>
    <w:p w14:paraId="7BA78353" w14:textId="77777777" w:rsidR="00E530AE" w:rsidRDefault="00E530AE">
      <w:pPr>
        <w:spacing w:line="276" w:lineRule="auto"/>
        <w:ind w:left="720"/>
        <w:rPr>
          <w:rFonts w:ascii="Helvetica Neue" w:eastAsia="Helvetica Neue" w:hAnsi="Helvetica Neue" w:cs="Helvetica Neue"/>
        </w:rPr>
      </w:pPr>
    </w:p>
    <w:p w14:paraId="6465F49F" w14:textId="77777777" w:rsidR="00E530AE" w:rsidRPr="00960F43" w:rsidRDefault="00B44B36">
      <w:pPr>
        <w:spacing w:line="276" w:lineRule="auto"/>
        <w:rPr>
          <w:rFonts w:ascii="AKIRAEXPANDED-SUPERBOLD" w:eastAsia="AKIRAEXPANDED-SUPERBOLD" w:hAnsi="AKIRAEXPANDED-SUPERBOLD" w:cs="AKIRAEXPANDED-SUPERBOLD"/>
          <w:b/>
          <w:sz w:val="28"/>
          <w:szCs w:val="28"/>
        </w:rPr>
      </w:pPr>
      <w:r w:rsidRPr="00960F43">
        <w:rPr>
          <w:rFonts w:ascii="AKIRAEXPANDED-SUPERBOLD" w:eastAsia="AKIRAEXPANDED-SUPERBOLD" w:hAnsi="AKIRAEXPANDED-SUPERBOLD" w:cs="AKIRAEXPANDED-SUPERBOLD"/>
          <w:b/>
          <w:sz w:val="28"/>
          <w:szCs w:val="28"/>
        </w:rPr>
        <w:t>There is such a thing as bad publicity</w:t>
      </w:r>
    </w:p>
    <w:p w14:paraId="36666023" w14:textId="77777777" w:rsidR="00E530AE" w:rsidRPr="000B2CC2" w:rsidRDefault="00B44B36">
      <w:p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 xml:space="preserve">More and more sustainability is becoming a rallying point for marketing. You can cash in on that for your practice, as long as you are actually doing the work to back it up. </w:t>
      </w:r>
    </w:p>
    <w:p w14:paraId="1082F988" w14:textId="77777777" w:rsidR="00E530AE" w:rsidRPr="000B2CC2" w:rsidRDefault="00B44B36">
      <w:pPr>
        <w:numPr>
          <w:ilvl w:val="0"/>
          <w:numId w:val="2"/>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 xml:space="preserve">Include any green initiatives as talking points for interviews or media spots. </w:t>
      </w:r>
    </w:p>
    <w:p w14:paraId="0BAB8F94" w14:textId="77777777" w:rsidR="00E530AE" w:rsidRPr="000B2CC2" w:rsidRDefault="00B44B36">
      <w:pPr>
        <w:numPr>
          <w:ilvl w:val="0"/>
          <w:numId w:val="2"/>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R</w:t>
      </w:r>
      <w:r w:rsidRPr="000B2CC2">
        <w:rPr>
          <w:rFonts w:ascii="Helvetica Neue" w:eastAsia="Helvetica Neue" w:hAnsi="Helvetica Neue" w:cs="Helvetica Neue"/>
          <w:sz w:val="22"/>
          <w:szCs w:val="22"/>
        </w:rPr>
        <w:t>esearch sustainability-minded organisations or groups who might be willing to give a shout-out about you to their networks on social media or e-news.</w:t>
      </w:r>
    </w:p>
    <w:p w14:paraId="4FAFEAF2" w14:textId="77777777" w:rsidR="00E530AE" w:rsidRPr="000B2CC2" w:rsidRDefault="00B44B36">
      <w:pPr>
        <w:numPr>
          <w:ilvl w:val="0"/>
          <w:numId w:val="2"/>
        </w:numPr>
        <w:spacing w:line="276" w:lineRule="auto"/>
        <w:rPr>
          <w:rFonts w:ascii="Helvetica Neue" w:eastAsia="Helvetica Neue" w:hAnsi="Helvetica Neue" w:cs="Helvetica Neue"/>
          <w:sz w:val="22"/>
          <w:szCs w:val="22"/>
        </w:rPr>
      </w:pPr>
      <w:r w:rsidRPr="000B2CC2">
        <w:rPr>
          <w:rFonts w:ascii="Helvetica Neue" w:eastAsia="Helvetica Neue" w:hAnsi="Helvetica Neue" w:cs="Helvetica Neue"/>
          <w:sz w:val="22"/>
          <w:szCs w:val="22"/>
        </w:rPr>
        <w:t>Avoid ‘greenwashing’, the practice of spinning your (often pre-existing) activities as eco-friendly for th</w:t>
      </w:r>
      <w:r w:rsidRPr="000B2CC2">
        <w:rPr>
          <w:rFonts w:ascii="Helvetica Neue" w:eastAsia="Helvetica Neue" w:hAnsi="Helvetica Neue" w:cs="Helvetica Neue"/>
          <w:sz w:val="22"/>
          <w:szCs w:val="22"/>
        </w:rPr>
        <w:t>e sake of PR, rather than investing in actual change.</w:t>
      </w:r>
    </w:p>
    <w:p w14:paraId="2AD51903" w14:textId="77777777" w:rsidR="00E530AE" w:rsidRDefault="00E530AE">
      <w:pPr>
        <w:spacing w:line="276" w:lineRule="auto"/>
        <w:ind w:left="720"/>
        <w:rPr>
          <w:rFonts w:ascii="Helvetica Neue" w:eastAsia="Helvetica Neue" w:hAnsi="Helvetica Neue" w:cs="Helvetica Neue"/>
        </w:rPr>
      </w:pPr>
    </w:p>
    <w:p w14:paraId="1FA90A32" w14:textId="77777777" w:rsidR="00960F43" w:rsidRPr="00B94EE2" w:rsidRDefault="00960F43" w:rsidP="00960F43">
      <w:pPr>
        <w:jc w:val="center"/>
        <w:rPr>
          <w:rFonts w:ascii="AKIRAEXPANDED-SUPERBOLD" w:eastAsia="AKIRAEXPANDED-SUPERBOLD" w:hAnsi="AKIRAEXPANDED-SUPERBOLD" w:cs="AKIRAEXPANDED-SUPERBOLD"/>
          <w:b/>
          <w:sz w:val="28"/>
          <w:szCs w:val="28"/>
        </w:rPr>
      </w:pPr>
      <w:r w:rsidRPr="00B94EE2">
        <w:rPr>
          <w:rFonts w:ascii="AKIRAEXPANDED-SUPERBOLD" w:eastAsia="AKIRAEXPANDED-SUPERBOLD" w:hAnsi="AKIRAEXPANDED-SUPERBOLD" w:cs="AKIRAEXPANDED-SUPERBOLD"/>
          <w:b/>
          <w:sz w:val="28"/>
          <w:szCs w:val="28"/>
        </w:rPr>
        <w:t>Get in touch</w:t>
      </w:r>
    </w:p>
    <w:p w14:paraId="32F8E254" w14:textId="77777777" w:rsidR="00960F43" w:rsidRDefault="00960F43" w:rsidP="00960F43">
      <w:pPr>
        <w:jc w:val="center"/>
        <w:rPr>
          <w:rFonts w:ascii="AKIRAEXPANDED-SUPERBOLD" w:eastAsia="AKIRAEXPANDED-SUPERBOLD" w:hAnsi="AKIRAEXPANDED-SUPERBOLD" w:cs="AKIRAEXPANDED-SUPERBOLD"/>
        </w:rPr>
      </w:pPr>
      <w:r w:rsidRPr="00B94EE2">
        <w:rPr>
          <w:rFonts w:ascii="AKIRAEXPANDED-SUPERBOLD" w:eastAsia="AKIRAEXPANDED-SUPERBOLD" w:hAnsi="AKIRAEXPANDED-SUPERBOLD" w:cs="AKIRAEXPANDED-SUPERBOLD"/>
        </w:rPr>
        <w:t>Website</w:t>
      </w:r>
    </w:p>
    <w:p w14:paraId="110F72E8" w14:textId="77777777" w:rsidR="00960F43" w:rsidRPr="00B94EE2" w:rsidRDefault="00960F43" w:rsidP="00960F43">
      <w:pPr>
        <w:jc w:val="center"/>
        <w:rPr>
          <w:rFonts w:ascii="AKIRAEXPANDED-SUPERBOLD" w:eastAsia="AKIRAEXPANDED-SUPERBOLD" w:hAnsi="AKIRAEXPANDED-SUPERBOLD" w:cs="AKIRAEXPANDED-SUPERBOLD"/>
        </w:rPr>
      </w:pPr>
      <w:hyperlink r:id="rId10" w:history="1">
        <w:r w:rsidRPr="009640F0">
          <w:rPr>
            <w:rStyle w:val="Hyperlink"/>
            <w:rFonts w:ascii="Helvetica Neue" w:eastAsia="Helvetica Neue" w:hAnsi="Helvetica Neue" w:cs="Helvetica Neue"/>
          </w:rPr>
          <w:t>https://sustainabletheatresaustralia.org/</w:t>
        </w:r>
      </w:hyperlink>
    </w:p>
    <w:p w14:paraId="18B7DF36" w14:textId="77777777" w:rsidR="00960F43" w:rsidRDefault="00960F43" w:rsidP="00960F43">
      <w:pPr>
        <w:jc w:val="center"/>
        <w:rPr>
          <w:rFonts w:ascii="AKIRAEXPANDED-SUPERBOLD" w:eastAsia="AKIRAEXPANDED-SUPERBOLD" w:hAnsi="AKIRAEXPANDED-SUPERBOLD" w:cs="AKIRAEXPANDED-SUPERBOLD"/>
        </w:rPr>
      </w:pPr>
      <w:r w:rsidRPr="00B94EE2">
        <w:rPr>
          <w:rFonts w:ascii="AKIRAEXPANDED-SUPERBOLD" w:eastAsia="AKIRAEXPANDED-SUPERBOLD" w:hAnsi="AKIRAEXPANDED-SUPERBOLD" w:cs="AKIRAEXPANDED-SUPERBOLD"/>
        </w:rPr>
        <w:t>Email</w:t>
      </w:r>
    </w:p>
    <w:p w14:paraId="3C64701F" w14:textId="322C1189" w:rsidR="00E530AE" w:rsidRDefault="00960F43" w:rsidP="00960F43">
      <w:pPr>
        <w:jc w:val="center"/>
        <w:rPr>
          <w:rFonts w:ascii="AKIRAEXPANDED-SUPERBOLD" w:eastAsia="AKIRAEXPANDED-SUPERBOLD" w:hAnsi="AKIRAEXPANDED-SUPERBOLD" w:cs="AKIRAEXPANDED-SUPERBOLD"/>
          <w:sz w:val="40"/>
          <w:szCs w:val="40"/>
        </w:rPr>
      </w:pPr>
      <w:hyperlink r:id="rId11" w:history="1">
        <w:r w:rsidRPr="009640F0">
          <w:rPr>
            <w:rStyle w:val="Hyperlink"/>
            <w:rFonts w:ascii="Helvetica Neue" w:eastAsia="Helvetica Neue" w:hAnsi="Helvetica Neue" w:cs="Helvetica Neue"/>
          </w:rPr>
          <w:t>https://sustainabletheatresaustralia.org/#:~:text=sustainable.the</w:t>
        </w:r>
        <w:r w:rsidRPr="009640F0">
          <w:rPr>
            <w:rStyle w:val="Hyperlink"/>
            <w:rFonts w:ascii="Helvetica Neue" w:eastAsia="Helvetica Neue" w:hAnsi="Helvetica Neue" w:cs="Helvetica Neue"/>
          </w:rPr>
          <w:t>a</w:t>
        </w:r>
        <w:r w:rsidRPr="009640F0">
          <w:rPr>
            <w:rStyle w:val="Hyperlink"/>
            <w:rFonts w:ascii="Helvetica Neue" w:eastAsia="Helvetica Neue" w:hAnsi="Helvetica Neue" w:cs="Helvetica Neue"/>
          </w:rPr>
          <w:t>tres.aus%40gmail.com</w:t>
        </w:r>
      </w:hyperlink>
    </w:p>
    <w:sectPr w:rsidR="00E530AE" w:rsidSect="00960F43">
      <w:footerReference w:type="default" r:id="rId12"/>
      <w:pgSz w:w="11900" w:h="16840"/>
      <w:pgMar w:top="851" w:right="1134" w:bottom="851" w:left="1134" w:header="709" w:footer="4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9887" w14:textId="77777777" w:rsidR="00B44B36" w:rsidRDefault="00B44B36">
      <w:r>
        <w:separator/>
      </w:r>
    </w:p>
  </w:endnote>
  <w:endnote w:type="continuationSeparator" w:id="0">
    <w:p w14:paraId="3408B877" w14:textId="77777777" w:rsidR="00B44B36" w:rsidRDefault="00B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IRAEXPANDED-SUPERBOLD">
    <w:panose1 w:val="020008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B8FA" w14:textId="77777777" w:rsidR="00E530AE" w:rsidRDefault="00B44B36">
    <w:pPr>
      <w:spacing w:line="252" w:lineRule="auto"/>
      <w:rPr>
        <w:b/>
        <w:sz w:val="20"/>
        <w:szCs w:val="20"/>
      </w:rPr>
    </w:pPr>
    <w:r>
      <w:rPr>
        <w:b/>
        <w:sz w:val="20"/>
        <w:szCs w:val="20"/>
      </w:rPr>
      <w:t>Sources</w:t>
    </w:r>
  </w:p>
  <w:p w14:paraId="2F134A74" w14:textId="77777777" w:rsidR="00E530AE" w:rsidRDefault="00B44B36" w:rsidP="00960F43">
    <w:pPr>
      <w:spacing w:line="252" w:lineRule="auto"/>
      <w:ind w:left="426" w:hanging="426"/>
      <w:rPr>
        <w:sz w:val="20"/>
        <w:szCs w:val="20"/>
      </w:rPr>
    </w:pPr>
    <w:proofErr w:type="spellStart"/>
    <w:r>
      <w:rPr>
        <w:sz w:val="20"/>
        <w:szCs w:val="20"/>
      </w:rPr>
      <w:t>Buro</w:t>
    </w:r>
    <w:proofErr w:type="spellEnd"/>
    <w:r>
      <w:rPr>
        <w:sz w:val="20"/>
        <w:szCs w:val="20"/>
      </w:rPr>
      <w:t xml:space="preserve"> Happold (2021). “The Theatre Green Book Part 1: Sustainable Productions”</w:t>
    </w:r>
    <w:r>
      <w:rPr>
        <w:i/>
        <w:sz w:val="20"/>
        <w:szCs w:val="20"/>
      </w:rPr>
      <w:t>.</w:t>
    </w:r>
    <w:r>
      <w:rPr>
        <w:sz w:val="20"/>
        <w:szCs w:val="20"/>
      </w:rPr>
      <w:t xml:space="preserve"> London: </w:t>
    </w:r>
    <w:proofErr w:type="spellStart"/>
    <w:r>
      <w:rPr>
        <w:sz w:val="20"/>
        <w:szCs w:val="20"/>
      </w:rPr>
      <w:t>Buro</w:t>
    </w:r>
    <w:proofErr w:type="spellEnd"/>
    <w:r>
      <w:rPr>
        <w:sz w:val="20"/>
        <w:szCs w:val="20"/>
      </w:rPr>
      <w:t xml:space="preserve"> Happold &amp; Renew Theatre. Accessed 5/2/22. URL: </w:t>
    </w:r>
    <w:hyperlink r:id="rId1">
      <w:r>
        <w:rPr>
          <w:color w:val="1155CC"/>
          <w:sz w:val="20"/>
          <w:szCs w:val="20"/>
          <w:u w:val="single"/>
        </w:rPr>
        <w:t>https://theatregreenbook.com/book-one-sustainable-productions/</w:t>
      </w:r>
    </w:hyperlink>
  </w:p>
  <w:p w14:paraId="121C12E5" w14:textId="77777777" w:rsidR="00E530AE" w:rsidRDefault="00B44B36" w:rsidP="00960F43">
    <w:pPr>
      <w:spacing w:line="252" w:lineRule="auto"/>
      <w:ind w:left="426" w:hanging="426"/>
      <w:rPr>
        <w:rFonts w:ascii="Helvetica Neue" w:eastAsia="Helvetica Neue" w:hAnsi="Helvetica Neue" w:cs="Helvetica Neue"/>
        <w:sz w:val="20"/>
        <w:szCs w:val="20"/>
      </w:rPr>
    </w:pPr>
    <w:r>
      <w:rPr>
        <w:sz w:val="20"/>
        <w:szCs w:val="20"/>
      </w:rPr>
      <w:t>Julie’s Bicycle (2013). “Sustainable Production Gu</w:t>
    </w:r>
    <w:r>
      <w:rPr>
        <w:sz w:val="20"/>
        <w:szCs w:val="20"/>
      </w:rPr>
      <w:t xml:space="preserve">ide”. London: Julie’s Bicycle. Accessed 11/2/22. </w:t>
    </w:r>
    <w:hyperlink r:id="rId2">
      <w:r>
        <w:rPr>
          <w:color w:val="1155CC"/>
          <w:sz w:val="20"/>
          <w:szCs w:val="20"/>
          <w:u w:val="single"/>
        </w:rPr>
        <w:t>https://juliesbicycle.com/wp-content/uploads/2019/11/Sustainable_Production_Guide_2013.pdf</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90E1" w14:textId="77777777" w:rsidR="00B44B36" w:rsidRDefault="00B44B36">
      <w:r>
        <w:separator/>
      </w:r>
    </w:p>
  </w:footnote>
  <w:footnote w:type="continuationSeparator" w:id="0">
    <w:p w14:paraId="61586DA3" w14:textId="77777777" w:rsidR="00B44B36" w:rsidRDefault="00B4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7EB"/>
    <w:multiLevelType w:val="multilevel"/>
    <w:tmpl w:val="D082C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2827DB"/>
    <w:multiLevelType w:val="multilevel"/>
    <w:tmpl w:val="89421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7123E7"/>
    <w:multiLevelType w:val="multilevel"/>
    <w:tmpl w:val="0826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6474E0"/>
    <w:multiLevelType w:val="multilevel"/>
    <w:tmpl w:val="FD24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983FA1"/>
    <w:multiLevelType w:val="multilevel"/>
    <w:tmpl w:val="9A02C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AE"/>
    <w:rsid w:val="000B2CC2"/>
    <w:rsid w:val="00960F43"/>
    <w:rsid w:val="00B44B36"/>
    <w:rsid w:val="00E53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3C4302"/>
  <w15:docId w15:val="{987ADF2F-8B94-6947-A64E-0D512E4F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2323"/>
    <w:rPr>
      <w:color w:val="0563C1" w:themeColor="hyperlink"/>
      <w:u w:val="single"/>
    </w:rPr>
  </w:style>
  <w:style w:type="character" w:styleId="UnresolvedMention">
    <w:name w:val="Unresolved Mention"/>
    <w:basedOn w:val="DefaultParagraphFont"/>
    <w:uiPriority w:val="99"/>
    <w:semiHidden/>
    <w:unhideWhenUsed/>
    <w:rsid w:val="00892323"/>
    <w:rPr>
      <w:color w:val="605E5C"/>
      <w:shd w:val="clear" w:color="auto" w:fill="E1DFDD"/>
    </w:rPr>
  </w:style>
  <w:style w:type="paragraph" w:styleId="ListParagraph">
    <w:name w:val="List Paragraph"/>
    <w:basedOn w:val="Normal"/>
    <w:uiPriority w:val="34"/>
    <w:qFormat/>
    <w:rsid w:val="008923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0F43"/>
    <w:pPr>
      <w:tabs>
        <w:tab w:val="center" w:pos="4513"/>
        <w:tab w:val="right" w:pos="9026"/>
      </w:tabs>
    </w:pPr>
  </w:style>
  <w:style w:type="character" w:customStyle="1" w:styleId="HeaderChar">
    <w:name w:val="Header Char"/>
    <w:basedOn w:val="DefaultParagraphFont"/>
    <w:link w:val="Header"/>
    <w:uiPriority w:val="99"/>
    <w:rsid w:val="00960F43"/>
  </w:style>
  <w:style w:type="paragraph" w:styleId="Footer">
    <w:name w:val="footer"/>
    <w:basedOn w:val="Normal"/>
    <w:link w:val="FooterChar"/>
    <w:uiPriority w:val="99"/>
    <w:unhideWhenUsed/>
    <w:rsid w:val="00960F43"/>
    <w:pPr>
      <w:tabs>
        <w:tab w:val="center" w:pos="4513"/>
        <w:tab w:val="right" w:pos="9026"/>
      </w:tabs>
    </w:pPr>
  </w:style>
  <w:style w:type="character" w:customStyle="1" w:styleId="FooterChar">
    <w:name w:val="Footer Char"/>
    <w:basedOn w:val="DefaultParagraphFont"/>
    <w:link w:val="Footer"/>
    <w:uiPriority w:val="99"/>
    <w:rsid w:val="0096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theatresaustralia.org/#:~:text=sustainable.theatres.aus%40gmail.com" TargetMode="External"/><Relationship Id="rId5" Type="http://schemas.openxmlformats.org/officeDocument/2006/relationships/webSettings" Target="webSettings.xml"/><Relationship Id="rId10" Type="http://schemas.openxmlformats.org/officeDocument/2006/relationships/hyperlink" Target="https://sustainabletheatresaustralia.org/" TargetMode="External"/><Relationship Id="rId4" Type="http://schemas.openxmlformats.org/officeDocument/2006/relationships/settings" Target="settings.xml"/><Relationship Id="rId9" Type="http://schemas.openxmlformats.org/officeDocument/2006/relationships/hyperlink" Target="https://finsbury.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juliesbicycle.com/wp-content/uploads/2019/11/Sustainable_Production_Guide_2013.pdf" TargetMode="External"/><Relationship Id="rId1" Type="http://schemas.openxmlformats.org/officeDocument/2006/relationships/hyperlink" Target="https://theatregreenbook.com/book-one-sustainable-prod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H9lmSasFMDf5VTkCeKCHDtw9w==">AMUW2mUh7X4VaF/gw8iRqGUKh2k4IurFfSaUVWT5JYdzCG9xpUQFt8EYwCHT+udGekeN74t8fUPc0wEFX6NA9Y9Ucj2/rIDTKNHeBWE4Y1Sj6vqISdimD5k=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Collins</dc:creator>
  <cp:lastModifiedBy>Christian Taylor</cp:lastModifiedBy>
  <cp:revision>3</cp:revision>
  <dcterms:created xsi:type="dcterms:W3CDTF">2021-10-06T12:48:00Z</dcterms:created>
  <dcterms:modified xsi:type="dcterms:W3CDTF">2022-02-18T05:56:00Z</dcterms:modified>
</cp:coreProperties>
</file>