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6B3F" w14:textId="0EC9307B" w:rsidR="00A05B16" w:rsidRDefault="00127087">
      <w:pPr>
        <w:rPr>
          <w:rFonts w:ascii="AKIRAEXPANDED-SUPERBOLD" w:eastAsia="AKIRAEXPANDED-SUPERBOLD" w:hAnsi="AKIRAEXPANDED-SUPERBOLD" w:cs="AKIRAEXPANDED-SUPERBOLD"/>
          <w:b/>
          <w:sz w:val="42"/>
          <w:szCs w:val="42"/>
        </w:rPr>
      </w:pPr>
      <w:r>
        <w:rPr>
          <w:rFonts w:ascii="AKIRAEXPANDED-SUPERBOLD" w:eastAsia="AKIRAEXPANDED-SUPERBOLD" w:hAnsi="AKIRAEXPANDED-SUPERBOLD" w:cs="AKIRAEXPANDED-SUPERBOLD"/>
          <w:b/>
          <w:sz w:val="42"/>
          <w:szCs w:val="42"/>
        </w:rPr>
        <w:t>End of Show Plan</w:t>
      </w:r>
      <w:r>
        <w:rPr>
          <w:noProof/>
        </w:rPr>
        <w:drawing>
          <wp:anchor distT="0" distB="0" distL="0" distR="0" simplePos="0" relativeHeight="251658240" behindDoc="1" locked="0" layoutInCell="1" hidden="0" allowOverlap="1" wp14:anchorId="38503A63" wp14:editId="78DCBE21">
            <wp:simplePos x="0" y="0"/>
            <wp:positionH relativeFrom="column">
              <wp:posOffset>2712720</wp:posOffset>
            </wp:positionH>
            <wp:positionV relativeFrom="paragraph">
              <wp:posOffset>-1933571</wp:posOffset>
            </wp:positionV>
            <wp:extent cx="1253490" cy="1263243"/>
            <wp:effectExtent l="0" t="0" r="0" b="0"/>
            <wp:wrapNone/>
            <wp:docPr id="52" name="image1.pn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circle&#10;&#10;Description automatically generated"/>
                    <pic:cNvPicPr preferRelativeResize="0"/>
                  </pic:nvPicPr>
                  <pic:blipFill>
                    <a:blip r:embed="rId8"/>
                    <a:srcRect/>
                    <a:stretch>
                      <a:fillRect/>
                    </a:stretch>
                  </pic:blipFill>
                  <pic:spPr>
                    <a:xfrm>
                      <a:off x="0" y="0"/>
                      <a:ext cx="1253490" cy="1263243"/>
                    </a:xfrm>
                    <a:prstGeom prst="rect">
                      <a:avLst/>
                    </a:prstGeom>
                    <a:ln/>
                  </pic:spPr>
                </pic:pic>
              </a:graphicData>
            </a:graphic>
          </wp:anchor>
        </w:drawing>
      </w:r>
    </w:p>
    <w:p w14:paraId="2C02392A" w14:textId="77777777" w:rsidR="00A05B16" w:rsidRDefault="00A05B16">
      <w:pPr>
        <w:spacing w:line="276" w:lineRule="auto"/>
        <w:ind w:left="720"/>
        <w:rPr>
          <w:rFonts w:ascii="Helvetica Neue" w:eastAsia="Helvetica Neue" w:hAnsi="Helvetica Neue" w:cs="Helvetica Neue"/>
          <w:sz w:val="22"/>
          <w:szCs w:val="22"/>
        </w:rPr>
      </w:pPr>
    </w:p>
    <w:p w14:paraId="6C57BB99" w14:textId="77777777" w:rsidR="00A05B16" w:rsidRDefault="00127087">
      <w:pPr>
        <w:spacing w:line="276" w:lineRule="auto"/>
        <w:rPr>
          <w:rFonts w:ascii="Helvetica Neue" w:eastAsia="Helvetica Neue" w:hAnsi="Helvetica Neue" w:cs="Helvetica Neue"/>
        </w:rPr>
      </w:pPr>
      <w:r>
        <w:rPr>
          <w:rFonts w:ascii="Helvetica Neue" w:eastAsia="Helvetica Neue" w:hAnsi="Helvetica Neue" w:cs="Helvetica Neue"/>
        </w:rPr>
        <w:t>One of the joys of creating theatre is the wonderful resources that pass through the design team, to production, to performers and finally for the enjoyment of audiences. That’s things like props, costumes, set and everything in between. But those material</w:t>
      </w:r>
      <w:r>
        <w:rPr>
          <w:rFonts w:ascii="Helvetica Neue" w:eastAsia="Helvetica Neue" w:hAnsi="Helvetica Neue" w:cs="Helvetica Neue"/>
        </w:rPr>
        <w:t>s often fail to find a second life, causing unnecessary waste. The good news is, not only can we be sustainably-minded, but we can contribute to lowering costs for future productions through better management of materials.</w:t>
      </w:r>
    </w:p>
    <w:p w14:paraId="7CC4D763" w14:textId="77777777" w:rsidR="00A05B16" w:rsidRPr="008A59EE" w:rsidRDefault="00A05B16">
      <w:pPr>
        <w:rPr>
          <w:rFonts w:ascii="Helvetica Neue" w:eastAsia="Helvetica Neue" w:hAnsi="Helvetica Neue" w:cs="Helvetica Neue"/>
          <w:sz w:val="28"/>
          <w:szCs w:val="28"/>
        </w:rPr>
      </w:pPr>
    </w:p>
    <w:p w14:paraId="2687E614" w14:textId="77777777" w:rsidR="00A05B16" w:rsidRPr="008A59EE" w:rsidRDefault="00127087">
      <w:pPr>
        <w:rPr>
          <w:rFonts w:ascii="Helvetica Neue" w:eastAsia="Helvetica Neue" w:hAnsi="Helvetica Neue" w:cs="Helvetica Neue"/>
          <w:b/>
          <w:sz w:val="28"/>
          <w:szCs w:val="28"/>
        </w:rPr>
      </w:pPr>
      <w:r w:rsidRPr="008A59EE">
        <w:rPr>
          <w:rFonts w:ascii="AKIRAEXPANDED-SUPERBOLD" w:eastAsia="AKIRAEXPANDED-SUPERBOLD" w:hAnsi="AKIRAEXPANDED-SUPERBOLD" w:cs="AKIRAEXPANDED-SUPERBOLD"/>
          <w:b/>
          <w:sz w:val="28"/>
          <w:szCs w:val="28"/>
        </w:rPr>
        <w:t>Keep track of your stuff</w:t>
      </w:r>
    </w:p>
    <w:p w14:paraId="46926382" w14:textId="77777777" w:rsidR="00A05B16" w:rsidRDefault="00127087">
      <w:pPr>
        <w:spacing w:line="276" w:lineRule="auto"/>
        <w:rPr>
          <w:rFonts w:ascii="Helvetica Neue" w:eastAsia="Helvetica Neue" w:hAnsi="Helvetica Neue" w:cs="Helvetica Neue"/>
        </w:rPr>
      </w:pPr>
      <w:r>
        <w:rPr>
          <w:rFonts w:ascii="Helvetica Neue" w:eastAsia="Helvetica Neue" w:hAnsi="Helvetica Neue" w:cs="Helvetica Neue"/>
        </w:rPr>
        <w:t xml:space="preserve">Create </w:t>
      </w:r>
      <w:r>
        <w:rPr>
          <w:rFonts w:ascii="Helvetica Neue" w:eastAsia="Helvetica Neue" w:hAnsi="Helvetica Neue" w:cs="Helvetica Neue"/>
        </w:rPr>
        <w:t xml:space="preserve">a document of all your materials in pre-production so that you can keep track of where they are being used, and where they will be disposed of or recycled, including details like transport. You can use this </w:t>
      </w:r>
      <w:hyperlink r:id="rId9">
        <w:r>
          <w:rPr>
            <w:rFonts w:ascii="Helvetica Neue" w:eastAsia="Helvetica Neue" w:hAnsi="Helvetica Neue" w:cs="Helvetica Neue"/>
            <w:color w:val="0563C1"/>
            <w:u w:val="single"/>
          </w:rPr>
          <w:t>handy template</w:t>
        </w:r>
      </w:hyperlink>
      <w:r>
        <w:rPr>
          <w:rFonts w:ascii="Helvetica Neue" w:eastAsia="Helvetica Neue" w:hAnsi="Helvetica Neue" w:cs="Helvetica Neue"/>
        </w:rPr>
        <w:t xml:space="preserve">, that we adapted from </w:t>
      </w:r>
      <w:hyperlink r:id="rId10">
        <w:r>
          <w:rPr>
            <w:rFonts w:ascii="Helvetica Neue" w:eastAsia="Helvetica Neue" w:hAnsi="Helvetica Neue" w:cs="Helvetica Neue"/>
            <w:color w:val="1155CC"/>
            <w:u w:val="single"/>
          </w:rPr>
          <w:t>The Theatre Green Book UK</w:t>
        </w:r>
      </w:hyperlink>
      <w:r>
        <w:rPr>
          <w:rFonts w:ascii="Helvetica Neue" w:eastAsia="Helvetica Neue" w:hAnsi="Helvetica Neue" w:cs="Helvetica Neue"/>
        </w:rPr>
        <w:t xml:space="preserve">. </w:t>
      </w:r>
    </w:p>
    <w:p w14:paraId="79004EAF" w14:textId="77777777" w:rsidR="00A05B16" w:rsidRDefault="00A05B16">
      <w:pPr>
        <w:spacing w:line="276" w:lineRule="auto"/>
        <w:rPr>
          <w:rFonts w:ascii="Helvetica Neue" w:eastAsia="Helvetica Neue" w:hAnsi="Helvetica Neue" w:cs="Helvetica Neue"/>
        </w:rPr>
      </w:pPr>
    </w:p>
    <w:p w14:paraId="1BD79553" w14:textId="77777777" w:rsidR="00A05B16" w:rsidRPr="008A59EE" w:rsidRDefault="00127087">
      <w:pPr>
        <w:spacing w:line="276" w:lineRule="auto"/>
        <w:rPr>
          <w:rFonts w:ascii="AKIRAEXPANDED-SUPERBOLD" w:eastAsia="Helvetica Neue" w:hAnsi="AKIRAEXPANDED-SUPERBOLD" w:cs="Helvetica Neue"/>
          <w:b/>
          <w:sz w:val="28"/>
          <w:szCs w:val="28"/>
        </w:rPr>
      </w:pPr>
      <w:r w:rsidRPr="008A59EE">
        <w:rPr>
          <w:rFonts w:ascii="AKIRAEXPANDED-SUPERBOLD" w:eastAsia="Helvetica Neue" w:hAnsi="AKIRAEXPANDED-SUPERBOLD" w:cs="Helvetica Neue"/>
          <w:b/>
          <w:sz w:val="28"/>
          <w:szCs w:val="28"/>
        </w:rPr>
        <w:t>Know what you</w:t>
      </w:r>
      <w:r w:rsidRPr="008A59EE">
        <w:rPr>
          <w:rFonts w:ascii="Times New Roman" w:eastAsia="Helvetica Neue" w:hAnsi="Times New Roman" w:cs="Times New Roman"/>
          <w:b/>
          <w:sz w:val="28"/>
          <w:szCs w:val="28"/>
        </w:rPr>
        <w:t>’</w:t>
      </w:r>
      <w:r w:rsidRPr="008A59EE">
        <w:rPr>
          <w:rFonts w:ascii="AKIRAEXPANDED-SUPERBOLD" w:eastAsia="Helvetica Neue" w:hAnsi="AKIRAEXPANDED-SUPERBOLD" w:cs="Helvetica Neue"/>
          <w:b/>
          <w:sz w:val="28"/>
          <w:szCs w:val="28"/>
        </w:rPr>
        <w:t>re aiming for</w:t>
      </w:r>
    </w:p>
    <w:p w14:paraId="38884D78" w14:textId="77777777" w:rsidR="00A05B16" w:rsidRDefault="00127087">
      <w:pPr>
        <w:spacing w:line="276" w:lineRule="auto"/>
        <w:rPr>
          <w:rFonts w:ascii="Helvetica Neue" w:eastAsia="Helvetica Neue" w:hAnsi="Helvetica Neue" w:cs="Helvetica Neue"/>
        </w:rPr>
      </w:pPr>
      <w:r>
        <w:rPr>
          <w:rFonts w:ascii="Helvetica Neue" w:eastAsia="Helvetica Neue" w:hAnsi="Helvetica Neue" w:cs="Helvetica Neue"/>
        </w:rPr>
        <w:t>At the be</w:t>
      </w:r>
      <w:r>
        <w:rPr>
          <w:rFonts w:ascii="Helvetica Neue" w:eastAsia="Helvetica Neue" w:hAnsi="Helvetica Neue" w:cs="Helvetica Neue"/>
        </w:rPr>
        <w:t>ginning of your production process, collaboratively decide on some goals for your material usage and consumption. These could be something like ‘We will recycle 80% of our materials’ or ‘We will find new homes for all furniture items of our set’.</w:t>
      </w:r>
    </w:p>
    <w:p w14:paraId="6010D6E6" w14:textId="77777777" w:rsidR="00A05B16" w:rsidRDefault="00A05B16">
      <w:pPr>
        <w:spacing w:line="276" w:lineRule="auto"/>
        <w:rPr>
          <w:rFonts w:ascii="Helvetica Neue" w:eastAsia="Helvetica Neue" w:hAnsi="Helvetica Neue" w:cs="Helvetica Neue"/>
        </w:rPr>
      </w:pPr>
    </w:p>
    <w:p w14:paraId="01111B63" w14:textId="77777777" w:rsidR="00A05B16" w:rsidRPr="008A59EE" w:rsidRDefault="00127087">
      <w:pPr>
        <w:spacing w:line="276" w:lineRule="auto"/>
        <w:rPr>
          <w:rFonts w:ascii="AKIRAEXPANDED-SUPERBOLD" w:eastAsia="Helvetica Neue" w:hAnsi="AKIRAEXPANDED-SUPERBOLD" w:cs="Helvetica Neue"/>
          <w:b/>
          <w:sz w:val="28"/>
          <w:szCs w:val="28"/>
        </w:rPr>
      </w:pPr>
      <w:r w:rsidRPr="008A59EE">
        <w:rPr>
          <w:rFonts w:ascii="AKIRAEXPANDED-SUPERBOLD" w:eastAsia="Helvetica Neue" w:hAnsi="AKIRAEXPANDED-SUPERBOLD" w:cs="Helvetica Neue"/>
          <w:b/>
          <w:sz w:val="28"/>
          <w:szCs w:val="28"/>
        </w:rPr>
        <w:t>Final De</w:t>
      </w:r>
      <w:r w:rsidRPr="008A59EE">
        <w:rPr>
          <w:rFonts w:ascii="AKIRAEXPANDED-SUPERBOLD" w:eastAsia="Helvetica Neue" w:hAnsi="AKIRAEXPANDED-SUPERBOLD" w:cs="Helvetica Neue"/>
          <w:b/>
          <w:sz w:val="28"/>
          <w:szCs w:val="28"/>
        </w:rPr>
        <w:t>stinations</w:t>
      </w:r>
    </w:p>
    <w:p w14:paraId="085452AD" w14:textId="77777777" w:rsidR="00A05B16" w:rsidRDefault="00127087">
      <w:pPr>
        <w:spacing w:line="276" w:lineRule="auto"/>
        <w:rPr>
          <w:rFonts w:ascii="Helvetica Neue" w:eastAsia="Helvetica Neue" w:hAnsi="Helvetica Neue" w:cs="Helvetica Neue"/>
        </w:rPr>
      </w:pPr>
      <w:r>
        <w:rPr>
          <w:rFonts w:ascii="Helvetica Neue" w:eastAsia="Helvetica Neue" w:hAnsi="Helvetica Neue" w:cs="Helvetica Neue"/>
        </w:rPr>
        <w:t xml:space="preserve">Ensure that you know where everything on your inventory is going once the run is over. Pre-planning will make this process so much easier during bump out. </w:t>
      </w:r>
    </w:p>
    <w:p w14:paraId="25F462AF" w14:textId="77777777" w:rsidR="00A05B16" w:rsidRDefault="00127087" w:rsidP="00297DA4">
      <w:pPr>
        <w:numPr>
          <w:ilvl w:val="0"/>
          <w:numId w:val="4"/>
        </w:numPr>
        <w:spacing w:line="276" w:lineRule="auto"/>
        <w:rPr>
          <w:rFonts w:ascii="Helvetica Neue" w:eastAsia="Helvetica Neue" w:hAnsi="Helvetica Neue" w:cs="Helvetica Neue"/>
        </w:rPr>
      </w:pPr>
      <w:r>
        <w:rPr>
          <w:rFonts w:ascii="Helvetica Neue" w:eastAsia="Helvetica Neue" w:hAnsi="Helvetica Neue" w:cs="Helvetica Neue"/>
        </w:rPr>
        <w:t xml:space="preserve">Start to categorise the next life for your materials. </w:t>
      </w:r>
    </w:p>
    <w:p w14:paraId="2B7A9C85" w14:textId="77777777" w:rsidR="00A05B16" w:rsidRDefault="00127087" w:rsidP="00297DA4">
      <w:pPr>
        <w:numPr>
          <w:ilvl w:val="0"/>
          <w:numId w:val="4"/>
        </w:numPr>
        <w:spacing w:line="276" w:lineRule="auto"/>
        <w:rPr>
          <w:rFonts w:ascii="Helvetica Neue" w:eastAsia="Helvetica Neue" w:hAnsi="Helvetica Neue" w:cs="Helvetica Neue"/>
        </w:rPr>
      </w:pPr>
      <w:r>
        <w:rPr>
          <w:rFonts w:ascii="Helvetica Neue" w:eastAsia="Helvetica Neue" w:hAnsi="Helvetica Neue" w:cs="Helvetica Neue"/>
        </w:rPr>
        <w:t>Review your list - is there ‘waste</w:t>
      </w:r>
      <w:r>
        <w:rPr>
          <w:rFonts w:ascii="Helvetica Neue" w:eastAsia="Helvetica Neue" w:hAnsi="Helvetica Neue" w:cs="Helvetica Neue"/>
        </w:rPr>
        <w:t>’ that could be re-categorised with planning?</w:t>
      </w:r>
    </w:p>
    <w:p w14:paraId="19D35A58" w14:textId="77777777" w:rsidR="00A05B16" w:rsidRDefault="00127087" w:rsidP="00297DA4">
      <w:pPr>
        <w:numPr>
          <w:ilvl w:val="0"/>
          <w:numId w:val="4"/>
        </w:numPr>
        <w:spacing w:line="276" w:lineRule="auto"/>
        <w:rPr>
          <w:rFonts w:ascii="Helvetica Neue" w:eastAsia="Helvetica Neue" w:hAnsi="Helvetica Neue" w:cs="Helvetica Neue"/>
        </w:rPr>
      </w:pPr>
      <w:r>
        <w:rPr>
          <w:rFonts w:ascii="Helvetica Neue" w:eastAsia="Helvetica Neue" w:hAnsi="Helvetica Neue" w:cs="Helvetica Neue"/>
        </w:rPr>
        <w:t xml:space="preserve">Remember to consider the potential ongoing life of the show. If you plan on touring, will your sets and costumes be properly stored? </w:t>
      </w:r>
      <w:r>
        <w:rPr>
          <w:rFonts w:ascii="AKIRAEXPANDED-SUPERBOLD" w:eastAsia="AKIRAEXPANDED-SUPERBOLD" w:hAnsi="AKIRAEXPANDED-SUPERBOLD" w:cs="AKIRAEXPANDED-SUPERBOLD"/>
        </w:rPr>
        <w:br/>
      </w:r>
    </w:p>
    <w:p w14:paraId="5C3DB0C1" w14:textId="21790378" w:rsidR="00A05B16" w:rsidRPr="008A59EE" w:rsidRDefault="00127087">
      <w:pPr>
        <w:rPr>
          <w:rFonts w:ascii="AKIRAEXPANDED-SUPERBOLD" w:eastAsia="Helvetica Neue" w:hAnsi="AKIRAEXPANDED-SUPERBOLD" w:cs="Helvetica Neue"/>
          <w:b/>
          <w:sz w:val="28"/>
          <w:szCs w:val="28"/>
        </w:rPr>
      </w:pPr>
      <w:r w:rsidRPr="008A59EE">
        <w:rPr>
          <w:rFonts w:ascii="AKIRAEXPANDED-SUPERBOLD" w:eastAsia="Helvetica Neue" w:hAnsi="AKIRAEXPANDED-SUPERBOLD" w:cs="Helvetica Neue"/>
          <w:b/>
          <w:sz w:val="28"/>
          <w:szCs w:val="28"/>
        </w:rPr>
        <w:t xml:space="preserve">Reduce, reuse, </w:t>
      </w:r>
      <w:r w:rsidR="008A59EE" w:rsidRPr="008A59EE">
        <w:rPr>
          <w:rFonts w:ascii="AKIRAEXPANDED-SUPERBOLD" w:eastAsia="Helvetica Neue" w:hAnsi="AKIRAEXPANDED-SUPERBOLD" w:cs="Helvetica Neue"/>
          <w:b/>
          <w:sz w:val="28"/>
          <w:szCs w:val="28"/>
        </w:rPr>
        <w:t xml:space="preserve">repurpose, </w:t>
      </w:r>
      <w:r w:rsidRPr="008A59EE">
        <w:rPr>
          <w:rFonts w:ascii="AKIRAEXPANDED-SUPERBOLD" w:eastAsia="Helvetica Neue" w:hAnsi="AKIRAEXPANDED-SUPERBOLD" w:cs="Helvetica Neue"/>
          <w:b/>
          <w:sz w:val="28"/>
          <w:szCs w:val="28"/>
        </w:rPr>
        <w:t>recycle</w:t>
      </w:r>
    </w:p>
    <w:p w14:paraId="45B2C8F2" w14:textId="77777777" w:rsidR="00A05B16" w:rsidRDefault="00127087">
      <w:pPr>
        <w:rPr>
          <w:rFonts w:ascii="Helvetica Neue" w:eastAsia="Helvetica Neue" w:hAnsi="Helvetica Neue" w:cs="Helvetica Neue"/>
        </w:rPr>
      </w:pPr>
      <w:r>
        <w:rPr>
          <w:rFonts w:ascii="Helvetica Neue" w:eastAsia="Helvetica Neue" w:hAnsi="Helvetica Neue" w:cs="Helvetica Neue"/>
        </w:rPr>
        <w:t>Focus as much as possible on disposal locations that embody a circular economy ethos, rather than places that break things down and destroy or recycle the raw materials.</w:t>
      </w:r>
    </w:p>
    <w:p w14:paraId="76D3D290" w14:textId="77777777" w:rsidR="00A05B16" w:rsidRDefault="00127087" w:rsidP="00297DA4">
      <w:pPr>
        <w:numPr>
          <w:ilvl w:val="0"/>
          <w:numId w:val="5"/>
        </w:numPr>
        <w:rPr>
          <w:rFonts w:ascii="Helvetica Neue" w:eastAsia="Helvetica Neue" w:hAnsi="Helvetica Neue" w:cs="Helvetica Neue"/>
        </w:rPr>
      </w:pPr>
      <w:r>
        <w:rPr>
          <w:rFonts w:ascii="Helvetica Neue" w:eastAsia="Helvetica Neue" w:hAnsi="Helvetica Neue" w:cs="Helvetica Neue"/>
        </w:rPr>
        <w:t>Resource Recovery or Reuse Centres often sell items back to new consumers. They are al</w:t>
      </w:r>
      <w:r>
        <w:rPr>
          <w:rFonts w:ascii="Helvetica Neue" w:eastAsia="Helvetica Neue" w:hAnsi="Helvetica Neue" w:cs="Helvetica Neue"/>
        </w:rPr>
        <w:t>so great places to source raw materials from.</w:t>
      </w:r>
    </w:p>
    <w:p w14:paraId="3741D8AC" w14:textId="77777777" w:rsidR="00A05B16" w:rsidRDefault="00127087" w:rsidP="00297DA4">
      <w:pPr>
        <w:numPr>
          <w:ilvl w:val="0"/>
          <w:numId w:val="5"/>
        </w:numPr>
        <w:rPr>
          <w:rFonts w:ascii="Helvetica Neue" w:eastAsia="Helvetica Neue" w:hAnsi="Helvetica Neue" w:cs="Helvetica Neue"/>
        </w:rPr>
      </w:pPr>
      <w:r>
        <w:rPr>
          <w:rFonts w:ascii="Helvetica Neue" w:eastAsia="Helvetica Neue" w:hAnsi="Helvetica Neue" w:cs="Helvetica Neue"/>
        </w:rPr>
        <w:t xml:space="preserve">Ensure items are taken to their specific donation or disposal sites. These include e-waste, mattresses, sporting equipment, batteries, and hazardous substances. </w:t>
      </w:r>
    </w:p>
    <w:p w14:paraId="742209C9" w14:textId="77777777" w:rsidR="00A05B16" w:rsidRDefault="00127087" w:rsidP="00297DA4">
      <w:pPr>
        <w:numPr>
          <w:ilvl w:val="0"/>
          <w:numId w:val="5"/>
        </w:numPr>
        <w:rPr>
          <w:rFonts w:ascii="Helvetica Neue" w:eastAsia="Helvetica Neue" w:hAnsi="Helvetica Neue" w:cs="Helvetica Neue"/>
        </w:rPr>
      </w:pPr>
      <w:r>
        <w:rPr>
          <w:rFonts w:ascii="Helvetica Neue" w:eastAsia="Helvetica Neue" w:hAnsi="Helvetica Neue" w:cs="Helvetica Neue"/>
        </w:rPr>
        <w:t xml:space="preserve">See our </w:t>
      </w:r>
      <w:hyperlink r:id="rId11" w:anchor="gid=0">
        <w:r>
          <w:rPr>
            <w:rFonts w:ascii="Helvetica Neue" w:eastAsia="Helvetica Neue" w:hAnsi="Helvetica Neue" w:cs="Helvetica Neue"/>
            <w:color w:val="1155CC"/>
            <w:u w:val="single"/>
          </w:rPr>
          <w:t>Production Disposal Directory</w:t>
        </w:r>
      </w:hyperlink>
      <w:r>
        <w:rPr>
          <w:rFonts w:ascii="Helvetica Neue" w:eastAsia="Helvetica Neue" w:hAnsi="Helvetica Neue" w:cs="Helvetica Neue"/>
        </w:rPr>
        <w:t xml:space="preserve"> for a list of nationwide disposal sites by state, along with their contact details. </w:t>
      </w:r>
    </w:p>
    <w:p w14:paraId="58DE52EA" w14:textId="77777777" w:rsidR="00A05B16" w:rsidRDefault="00A05B16">
      <w:pPr>
        <w:ind w:left="1440"/>
        <w:rPr>
          <w:rFonts w:ascii="Helvetica Neue" w:eastAsia="Helvetica Neue" w:hAnsi="Helvetica Neue" w:cs="Helvetica Neue"/>
        </w:rPr>
      </w:pPr>
    </w:p>
    <w:p w14:paraId="641FAE40" w14:textId="77777777" w:rsidR="00A05B16" w:rsidRDefault="00A05B16">
      <w:pPr>
        <w:ind w:left="1440"/>
        <w:rPr>
          <w:rFonts w:ascii="Helvetica Neue" w:eastAsia="Helvetica Neue" w:hAnsi="Helvetica Neue" w:cs="Helvetica Neue"/>
          <w:sz w:val="20"/>
          <w:szCs w:val="20"/>
        </w:rPr>
      </w:pPr>
    </w:p>
    <w:p w14:paraId="321DBA44" w14:textId="77777777" w:rsidR="00EC6975" w:rsidRPr="00B94EE2" w:rsidRDefault="00EC6975" w:rsidP="00EC6975">
      <w:pPr>
        <w:jc w:val="center"/>
        <w:rPr>
          <w:rFonts w:ascii="AKIRAEXPANDED-SUPERBOLD" w:eastAsia="AKIRAEXPANDED-SUPERBOLD" w:hAnsi="AKIRAEXPANDED-SUPERBOLD" w:cs="AKIRAEXPANDED-SUPERBOLD"/>
          <w:b/>
          <w:sz w:val="28"/>
          <w:szCs w:val="28"/>
        </w:rPr>
      </w:pPr>
      <w:r w:rsidRPr="00B94EE2">
        <w:rPr>
          <w:rFonts w:ascii="AKIRAEXPANDED-SUPERBOLD" w:eastAsia="AKIRAEXPANDED-SUPERBOLD" w:hAnsi="AKIRAEXPANDED-SUPERBOLD" w:cs="AKIRAEXPANDED-SUPERBOLD"/>
          <w:b/>
          <w:sz w:val="28"/>
          <w:szCs w:val="28"/>
        </w:rPr>
        <w:t>Get in touch</w:t>
      </w:r>
    </w:p>
    <w:p w14:paraId="397F9BF2" w14:textId="77777777" w:rsidR="00EC6975" w:rsidRDefault="00EC6975" w:rsidP="00EC6975">
      <w:pPr>
        <w:jc w:val="center"/>
        <w:rPr>
          <w:rFonts w:ascii="AKIRAEXPANDED-SUPERBOLD" w:eastAsia="AKIRAEXPANDED-SUPERBOLD" w:hAnsi="AKIRAEXPANDED-SUPERBOLD" w:cs="AKIRAEXPANDED-SUPERBOLD"/>
        </w:rPr>
      </w:pPr>
      <w:r w:rsidRPr="00B94EE2">
        <w:rPr>
          <w:rFonts w:ascii="AKIRAEXPANDED-SUPERBOLD" w:eastAsia="AKIRAEXPANDED-SUPERBOLD" w:hAnsi="AKIRAEXPANDED-SUPERBOLD" w:cs="AKIRAEXPANDED-SUPERBOLD"/>
        </w:rPr>
        <w:t>Website</w:t>
      </w:r>
    </w:p>
    <w:p w14:paraId="6F8E5333" w14:textId="77777777" w:rsidR="00EC6975" w:rsidRPr="00B94EE2" w:rsidRDefault="00EC6975" w:rsidP="00EC6975">
      <w:pPr>
        <w:jc w:val="center"/>
        <w:rPr>
          <w:rFonts w:ascii="AKIRAEXPANDED-SUPERBOLD" w:eastAsia="AKIRAEXPANDED-SUPERBOLD" w:hAnsi="AKIRAEXPANDED-SUPERBOLD" w:cs="AKIRAEXPANDED-SUPERBOLD"/>
        </w:rPr>
      </w:pPr>
      <w:hyperlink r:id="rId12" w:history="1">
        <w:r w:rsidRPr="009640F0">
          <w:rPr>
            <w:rStyle w:val="Hyperlink"/>
            <w:rFonts w:ascii="Helvetica Neue" w:eastAsia="Helvetica Neue" w:hAnsi="Helvetica Neue" w:cs="Helvetica Neue"/>
          </w:rPr>
          <w:t>https://sustainabletheatresaustralia.org/</w:t>
        </w:r>
      </w:hyperlink>
    </w:p>
    <w:p w14:paraId="421AC5E3" w14:textId="77777777" w:rsidR="00EC6975" w:rsidRDefault="00EC6975" w:rsidP="00EC6975">
      <w:pPr>
        <w:jc w:val="center"/>
        <w:rPr>
          <w:rFonts w:ascii="AKIRAEXPANDED-SUPERBOLD" w:eastAsia="AKIRAEXPANDED-SUPERBOLD" w:hAnsi="AKIRAEXPANDED-SUPERBOLD" w:cs="AKIRAEXPANDED-SUPERBOLD"/>
        </w:rPr>
      </w:pPr>
      <w:r w:rsidRPr="00B94EE2">
        <w:rPr>
          <w:rFonts w:ascii="AKIRAEXPANDED-SUPERBOLD" w:eastAsia="AKIRAEXPANDED-SUPERBOLD" w:hAnsi="AKIRAEXPANDED-SUPERBOLD" w:cs="AKIRAEXPANDED-SUPERBOLD"/>
        </w:rPr>
        <w:t>Email</w:t>
      </w:r>
    </w:p>
    <w:p w14:paraId="182660C5" w14:textId="77777777" w:rsidR="00EC6975" w:rsidRDefault="00EC6975" w:rsidP="00EC6975">
      <w:pPr>
        <w:jc w:val="center"/>
        <w:rPr>
          <w:rFonts w:ascii="AKIRAEXPANDED-SUPERBOLD" w:eastAsia="AKIRAEXPANDED-SUPERBOLD" w:hAnsi="AKIRAEXPANDED-SUPERBOLD" w:cs="AKIRAEXPANDED-SUPERBOLD"/>
          <w:sz w:val="40"/>
          <w:szCs w:val="40"/>
        </w:rPr>
      </w:pPr>
      <w:hyperlink r:id="rId13" w:history="1">
        <w:r w:rsidRPr="009640F0">
          <w:rPr>
            <w:rStyle w:val="Hyperlink"/>
            <w:rFonts w:ascii="Helvetica Neue" w:eastAsia="Helvetica Neue" w:hAnsi="Helvetica Neue" w:cs="Helvetica Neue"/>
          </w:rPr>
          <w:t>https://sustainabletheatresaustralia.org/#:~:text=sustainable.the</w:t>
        </w:r>
        <w:r w:rsidRPr="009640F0">
          <w:rPr>
            <w:rStyle w:val="Hyperlink"/>
            <w:rFonts w:ascii="Helvetica Neue" w:eastAsia="Helvetica Neue" w:hAnsi="Helvetica Neue" w:cs="Helvetica Neue"/>
          </w:rPr>
          <w:t>a</w:t>
        </w:r>
        <w:r w:rsidRPr="009640F0">
          <w:rPr>
            <w:rStyle w:val="Hyperlink"/>
            <w:rFonts w:ascii="Helvetica Neue" w:eastAsia="Helvetica Neue" w:hAnsi="Helvetica Neue" w:cs="Helvetica Neue"/>
          </w:rPr>
          <w:t>tres.aus%40gmail.com</w:t>
        </w:r>
      </w:hyperlink>
    </w:p>
    <w:p w14:paraId="28B4B9FF" w14:textId="7813FEAA" w:rsidR="00A05B16" w:rsidRDefault="00A05B16" w:rsidP="00EC6975">
      <w:pPr>
        <w:rPr>
          <w:rFonts w:ascii="AKIRAEXPANDED-SUPERBOLD" w:eastAsia="AKIRAEXPANDED-SUPERBOLD" w:hAnsi="AKIRAEXPANDED-SUPERBOLD" w:cs="AKIRAEXPANDED-SUPERBOLD"/>
          <w:sz w:val="32"/>
          <w:szCs w:val="32"/>
        </w:rPr>
      </w:pPr>
    </w:p>
    <w:sectPr w:rsidR="00A05B16" w:rsidSect="00EC6975">
      <w:footerReference w:type="default" r:id="rId14"/>
      <w:pgSz w:w="11900" w:h="16840"/>
      <w:pgMar w:top="851" w:right="1134" w:bottom="851" w:left="1134" w:header="709" w:footer="44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7BEC" w14:textId="77777777" w:rsidR="00127087" w:rsidRDefault="00127087">
      <w:r>
        <w:separator/>
      </w:r>
    </w:p>
  </w:endnote>
  <w:endnote w:type="continuationSeparator" w:id="0">
    <w:p w14:paraId="4CBA6B53" w14:textId="77777777" w:rsidR="00127087" w:rsidRDefault="0012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KIRAEXPANDED-SUPERBOLD">
    <w:panose1 w:val="02000800000000000000"/>
    <w:charset w:val="00"/>
    <w:family w:val="auto"/>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FC35" w14:textId="77777777" w:rsidR="00A05B16" w:rsidRDefault="00127087">
    <w:pPr>
      <w:spacing w:line="252" w:lineRule="auto"/>
      <w:rPr>
        <w:b/>
        <w:sz w:val="20"/>
        <w:szCs w:val="20"/>
      </w:rPr>
    </w:pPr>
    <w:r>
      <w:rPr>
        <w:b/>
        <w:sz w:val="20"/>
        <w:szCs w:val="20"/>
      </w:rPr>
      <w:t>Sources</w:t>
    </w:r>
  </w:p>
  <w:p w14:paraId="38B75EF6" w14:textId="77777777" w:rsidR="00A05B16" w:rsidRDefault="00127087" w:rsidP="00EC6975">
    <w:pPr>
      <w:spacing w:line="252" w:lineRule="auto"/>
      <w:ind w:left="284" w:hanging="284"/>
      <w:rPr>
        <w:sz w:val="20"/>
        <w:szCs w:val="20"/>
      </w:rPr>
    </w:pPr>
    <w:proofErr w:type="spellStart"/>
    <w:r>
      <w:rPr>
        <w:sz w:val="20"/>
        <w:szCs w:val="20"/>
      </w:rPr>
      <w:t>Buro</w:t>
    </w:r>
    <w:proofErr w:type="spellEnd"/>
    <w:r>
      <w:rPr>
        <w:sz w:val="20"/>
        <w:szCs w:val="20"/>
      </w:rPr>
      <w:t xml:space="preserve"> Happold (2021). “The Theatre Green Book Part 1: Sustainable Productions”</w:t>
    </w:r>
    <w:r>
      <w:rPr>
        <w:i/>
        <w:sz w:val="20"/>
        <w:szCs w:val="20"/>
      </w:rPr>
      <w:t>.</w:t>
    </w:r>
    <w:r>
      <w:rPr>
        <w:sz w:val="20"/>
        <w:szCs w:val="20"/>
      </w:rPr>
      <w:t xml:space="preserve"> London: </w:t>
    </w:r>
    <w:proofErr w:type="spellStart"/>
    <w:r>
      <w:rPr>
        <w:sz w:val="20"/>
        <w:szCs w:val="20"/>
      </w:rPr>
      <w:t>Buro</w:t>
    </w:r>
    <w:proofErr w:type="spellEnd"/>
    <w:r>
      <w:rPr>
        <w:sz w:val="20"/>
        <w:szCs w:val="20"/>
      </w:rPr>
      <w:t xml:space="preserve"> Happold &amp; Renew Theatre. Accessed February 5, 2022. URL: </w:t>
    </w:r>
    <w:hyperlink r:id="rId1">
      <w:r>
        <w:rPr>
          <w:color w:val="1155CC"/>
          <w:sz w:val="20"/>
          <w:szCs w:val="20"/>
          <w:u w:val="single"/>
        </w:rPr>
        <w:t>https://theatregreenbook.com/book-one-sustainable-productions/</w:t>
      </w:r>
    </w:hyperlink>
    <w:r>
      <w:rPr>
        <w:sz w:val="20"/>
        <w:szCs w:val="20"/>
      </w:rPr>
      <w:t xml:space="preserve"> </w:t>
    </w:r>
  </w:p>
  <w:p w14:paraId="6DC2D7CF" w14:textId="77777777" w:rsidR="00A05B16" w:rsidRDefault="00A05B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6202" w14:textId="77777777" w:rsidR="00127087" w:rsidRDefault="00127087">
      <w:r>
        <w:separator/>
      </w:r>
    </w:p>
  </w:footnote>
  <w:footnote w:type="continuationSeparator" w:id="0">
    <w:p w14:paraId="29B4FEA4" w14:textId="77777777" w:rsidR="00127087" w:rsidRDefault="0012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476"/>
    <w:multiLevelType w:val="multilevel"/>
    <w:tmpl w:val="8536D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584F77"/>
    <w:multiLevelType w:val="multilevel"/>
    <w:tmpl w:val="B4A2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2D0D52"/>
    <w:multiLevelType w:val="multilevel"/>
    <w:tmpl w:val="84AEA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673A6"/>
    <w:multiLevelType w:val="multilevel"/>
    <w:tmpl w:val="1020E3C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34393F"/>
    <w:multiLevelType w:val="multilevel"/>
    <w:tmpl w:val="EF22A1DA"/>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B16"/>
    <w:rsid w:val="00127087"/>
    <w:rsid w:val="00297DA4"/>
    <w:rsid w:val="008A59EE"/>
    <w:rsid w:val="00A05B16"/>
    <w:rsid w:val="00EC6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DB7B54"/>
  <w15:docId w15:val="{987ADF2F-8B94-6947-A64E-0D512E4F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92323"/>
    <w:rPr>
      <w:color w:val="0563C1" w:themeColor="hyperlink"/>
      <w:u w:val="single"/>
    </w:rPr>
  </w:style>
  <w:style w:type="character" w:styleId="UnresolvedMention">
    <w:name w:val="Unresolved Mention"/>
    <w:basedOn w:val="DefaultParagraphFont"/>
    <w:uiPriority w:val="99"/>
    <w:semiHidden/>
    <w:unhideWhenUsed/>
    <w:rsid w:val="00892323"/>
    <w:rPr>
      <w:color w:val="605E5C"/>
      <w:shd w:val="clear" w:color="auto" w:fill="E1DFDD"/>
    </w:rPr>
  </w:style>
  <w:style w:type="paragraph" w:styleId="ListParagraph">
    <w:name w:val="List Paragraph"/>
    <w:basedOn w:val="Normal"/>
    <w:uiPriority w:val="34"/>
    <w:qFormat/>
    <w:rsid w:val="0089232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6975"/>
    <w:pPr>
      <w:tabs>
        <w:tab w:val="center" w:pos="4513"/>
        <w:tab w:val="right" w:pos="9026"/>
      </w:tabs>
    </w:pPr>
  </w:style>
  <w:style w:type="character" w:customStyle="1" w:styleId="HeaderChar">
    <w:name w:val="Header Char"/>
    <w:basedOn w:val="DefaultParagraphFont"/>
    <w:link w:val="Header"/>
    <w:uiPriority w:val="99"/>
    <w:rsid w:val="00EC6975"/>
  </w:style>
  <w:style w:type="paragraph" w:styleId="Footer">
    <w:name w:val="footer"/>
    <w:basedOn w:val="Normal"/>
    <w:link w:val="FooterChar"/>
    <w:uiPriority w:val="99"/>
    <w:unhideWhenUsed/>
    <w:rsid w:val="00EC6975"/>
    <w:pPr>
      <w:tabs>
        <w:tab w:val="center" w:pos="4513"/>
        <w:tab w:val="right" w:pos="9026"/>
      </w:tabs>
    </w:pPr>
  </w:style>
  <w:style w:type="character" w:customStyle="1" w:styleId="FooterChar">
    <w:name w:val="Footer Char"/>
    <w:basedOn w:val="DefaultParagraphFont"/>
    <w:link w:val="Footer"/>
    <w:uiPriority w:val="99"/>
    <w:rsid w:val="00EC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letheatresaustralia.org/#:~:text=sustainable.theatres.aus%4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abletheatresaustral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QyinFb-LyKZxvfWwAqMfvo3LElHfzT2F7Rj2UAxPE8E/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atregreenbook.com/book-one-sustainable-productions/" TargetMode="External"/><Relationship Id="rId4" Type="http://schemas.openxmlformats.org/officeDocument/2006/relationships/settings" Target="settings.xml"/><Relationship Id="rId9" Type="http://schemas.openxmlformats.org/officeDocument/2006/relationships/hyperlink" Target="https://docs.google.com/spreadsheets/d/1QDlDYZUAQ5leeA-i-f5ElwesHpDLBT-j43fQqFYzl_Y/edit?usp=shar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atregreenbook.com/book-one-sustainable-prod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8rcn7q0PbOCDW5LqHQ65ud+ATw==">AMUW2mUcp+NojMw6DzSWw8X36HbpYk9MYj8Ka32fLum511k8MiYb/4yU4pYzU1zXNwXTXAIuz0E9eXxn2KMzGGTM/hJzZyUf0aHC25+1ch0ASlwAvjeBeXg=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Collins</dc:creator>
  <cp:lastModifiedBy>Christian Taylor</cp:lastModifiedBy>
  <cp:revision>3</cp:revision>
  <dcterms:created xsi:type="dcterms:W3CDTF">2021-10-06T11:41:00Z</dcterms:created>
  <dcterms:modified xsi:type="dcterms:W3CDTF">2022-02-18T05:46:00Z</dcterms:modified>
</cp:coreProperties>
</file>