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5965B" w14:textId="77777777" w:rsidR="00772C34" w:rsidRDefault="003C0965">
      <w:pPr>
        <w:rPr>
          <w:rFonts w:ascii="AKIRAEXPANDED-SUPERBOLD" w:eastAsia="AKIRAEXPANDED-SUPERBOLD" w:hAnsi="AKIRAEXPANDED-SUPERBOLD" w:cs="AKIRAEXPANDED-SUPERBOLD"/>
          <w:b/>
          <w:sz w:val="42"/>
          <w:szCs w:val="42"/>
        </w:rPr>
      </w:pPr>
      <w:r>
        <w:rPr>
          <w:rFonts w:ascii="AKIRAEXPANDED-SUPERBOLD" w:eastAsia="AKIRAEXPANDED-SUPERBOLD" w:hAnsi="AKIRAEXPANDED-SUPERBOLD" w:cs="AKIRAEXPANDED-SUPERBOLD"/>
          <w:b/>
          <w:sz w:val="42"/>
          <w:szCs w:val="42"/>
        </w:rPr>
        <w:t>Designing for Disassembly</w:t>
      </w:r>
      <w:r>
        <w:rPr>
          <w:rFonts w:ascii="AKIRAEXPANDED-SUPERBOLD" w:eastAsia="AKIRAEXPANDED-SUPERBOLD" w:hAnsi="AKIRAEXPANDED-SUPERBOLD" w:cs="AKIRAEXPANDED-SUPERBOLD"/>
          <w:b/>
          <w:color w:val="0563C1"/>
          <w:sz w:val="42"/>
          <w:szCs w:val="42"/>
          <w:u w:val="single"/>
        </w:rPr>
        <w:t xml:space="preserve"> </w:t>
      </w:r>
      <w:r>
        <w:rPr>
          <w:rFonts w:ascii="AKIRAEXPANDED-SUPERBOLD" w:eastAsia="AKIRAEXPANDED-SUPERBOLD" w:hAnsi="AKIRAEXPANDED-SUPERBOLD" w:cs="AKIRAEXPANDED-SUPERBOLD"/>
          <w:b/>
          <w:color w:val="000000"/>
          <w:sz w:val="42"/>
          <w:szCs w:val="42"/>
        </w:rPr>
        <w:t xml:space="preserve"> </w:t>
      </w:r>
      <w:r>
        <w:rPr>
          <w:noProof/>
        </w:rPr>
        <w:drawing>
          <wp:anchor distT="0" distB="0" distL="0" distR="0" simplePos="0" relativeHeight="251658240" behindDoc="1" locked="0" layoutInCell="1" hidden="0" allowOverlap="1" wp14:anchorId="1B4E6921" wp14:editId="2A23D747">
            <wp:simplePos x="0" y="0"/>
            <wp:positionH relativeFrom="column">
              <wp:posOffset>2712720</wp:posOffset>
            </wp:positionH>
            <wp:positionV relativeFrom="paragraph">
              <wp:posOffset>-1933571</wp:posOffset>
            </wp:positionV>
            <wp:extent cx="1253490" cy="1263243"/>
            <wp:effectExtent l="0" t="0" r="0" b="0"/>
            <wp:wrapNone/>
            <wp:docPr id="46" name="image1.png" descr="Shape, circ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Shape, circle&#10;&#10;Description automatically generated"/>
                    <pic:cNvPicPr preferRelativeResize="0"/>
                  </pic:nvPicPr>
                  <pic:blipFill>
                    <a:blip r:embed="rId8"/>
                    <a:srcRect/>
                    <a:stretch>
                      <a:fillRect/>
                    </a:stretch>
                  </pic:blipFill>
                  <pic:spPr>
                    <a:xfrm>
                      <a:off x="0" y="0"/>
                      <a:ext cx="1253490" cy="1263243"/>
                    </a:xfrm>
                    <a:prstGeom prst="rect">
                      <a:avLst/>
                    </a:prstGeom>
                    <a:ln/>
                  </pic:spPr>
                </pic:pic>
              </a:graphicData>
            </a:graphic>
          </wp:anchor>
        </w:drawing>
      </w:r>
    </w:p>
    <w:p w14:paraId="3B161D37" w14:textId="77777777" w:rsidR="00772C34" w:rsidRDefault="00772C34">
      <w:pPr>
        <w:rPr>
          <w:rFonts w:ascii="Helvetica Neue" w:eastAsia="Helvetica Neue" w:hAnsi="Helvetica Neue" w:cs="Helvetica Neue"/>
        </w:rPr>
      </w:pPr>
    </w:p>
    <w:p w14:paraId="5A6BA012" w14:textId="77777777" w:rsidR="00772C34" w:rsidRDefault="003C0965">
      <w:pPr>
        <w:rPr>
          <w:rFonts w:ascii="Helvetica Neue" w:eastAsia="Helvetica Neue" w:hAnsi="Helvetica Neue" w:cs="Helvetica Neue"/>
        </w:rPr>
      </w:pPr>
      <w:r>
        <w:rPr>
          <w:rFonts w:ascii="Helvetica Neue" w:eastAsia="Helvetica Neue" w:hAnsi="Helvetica Neue" w:cs="Helvetica Neue"/>
        </w:rPr>
        <w:t>Originally an architectural concept,</w:t>
      </w:r>
      <w:r>
        <w:rPr>
          <w:rFonts w:ascii="Helvetica Neue" w:eastAsia="Helvetica Neue" w:hAnsi="Helvetica Neue" w:cs="Helvetica Neue"/>
          <w:i/>
        </w:rPr>
        <w:t xml:space="preserve"> </w:t>
      </w:r>
      <w:r>
        <w:rPr>
          <w:rFonts w:ascii="Helvetica Neue" w:eastAsia="Helvetica Neue" w:hAnsi="Helvetica Neue" w:cs="Helvetica Neue"/>
        </w:rPr>
        <w:t>designing for disassembly refers to building constructing things in such a way that they are easily pulled apart into parts for reuse, recycling or disposal. Firstly, this lets you dispose of items separately. But secondly, if an item is difficult to decon</w:t>
      </w:r>
      <w:r>
        <w:rPr>
          <w:rFonts w:ascii="Helvetica Neue" w:eastAsia="Helvetica Neue" w:hAnsi="Helvetica Neue" w:cs="Helvetica Neue"/>
        </w:rPr>
        <w:t xml:space="preserve">struct, it is going to be more likely to be damaged, and more difficult to repair or reuse, reducing its opportunities to have a second life. We know that  in the independent sector, bump outs can be stressful and messy, but designing for disassembly will </w:t>
      </w:r>
      <w:r>
        <w:rPr>
          <w:rFonts w:ascii="Helvetica Neue" w:eastAsia="Helvetica Neue" w:hAnsi="Helvetica Neue" w:cs="Helvetica Neue"/>
        </w:rPr>
        <w:t>set you up for a schmick and efficient process.</w:t>
      </w:r>
    </w:p>
    <w:p w14:paraId="6DE8AB40" w14:textId="77777777" w:rsidR="00772C34" w:rsidRDefault="00772C34">
      <w:pPr>
        <w:rPr>
          <w:rFonts w:ascii="Helvetica Neue" w:eastAsia="Helvetica Neue" w:hAnsi="Helvetica Neue" w:cs="Helvetica Neue"/>
        </w:rPr>
      </w:pPr>
    </w:p>
    <w:p w14:paraId="11FEB8DA" w14:textId="016DAE47" w:rsidR="00772C34" w:rsidRDefault="003C0965">
      <w:pPr>
        <w:spacing w:line="252" w:lineRule="auto"/>
        <w:rPr>
          <w:rFonts w:ascii="AKIRAEXPANDED-SUPERBOLD" w:eastAsia="AKIRAEXPANDED-SUPERBOLD" w:hAnsi="AKIRAEXPANDED-SUPERBOLD" w:cs="AKIRAEXPANDED-SUPERBOLD"/>
        </w:rPr>
      </w:pPr>
      <w:r>
        <w:rPr>
          <w:rFonts w:ascii="AKIRAEXPANDED-SUPERBOLD" w:eastAsia="AKIRAEXPANDED-SUPERBOLD" w:hAnsi="AKIRAEXPANDED-SUPERBOLD" w:cs="AKIRAEXPANDED-SUPERBOLD"/>
          <w:b/>
        </w:rPr>
        <w:t>Keep it simple</w:t>
      </w:r>
    </w:p>
    <w:p w14:paraId="74064DBF" w14:textId="77777777" w:rsidR="00772C34" w:rsidRDefault="003C0965">
      <w:pPr>
        <w:spacing w:line="252" w:lineRule="auto"/>
        <w:rPr>
          <w:rFonts w:ascii="Helvetica Neue" w:eastAsia="Helvetica Neue" w:hAnsi="Helvetica Neue" w:cs="Helvetica Neue"/>
        </w:rPr>
      </w:pPr>
      <w:r>
        <w:rPr>
          <w:rFonts w:ascii="Helvetica Neue" w:eastAsia="Helvetica Neue" w:hAnsi="Helvetica Neue" w:cs="Helvetica Neue"/>
        </w:rPr>
        <w:t xml:space="preserve">The more complicated a design build, the more difficult it is to disassemble. </w:t>
      </w:r>
    </w:p>
    <w:p w14:paraId="30E18E53" w14:textId="77777777" w:rsidR="00772C34" w:rsidRDefault="003C0965" w:rsidP="00B94EE2">
      <w:pPr>
        <w:numPr>
          <w:ilvl w:val="0"/>
          <w:numId w:val="6"/>
        </w:numPr>
        <w:spacing w:line="252" w:lineRule="auto"/>
      </w:pPr>
      <w:r>
        <w:rPr>
          <w:rFonts w:ascii="Helvetica Neue" w:eastAsia="Helvetica Neue" w:hAnsi="Helvetica Neue" w:cs="Helvetica Neue"/>
        </w:rPr>
        <w:t>Try to preference hand tools in the construction, and limit the requirement of any non-standard equipment, or ex</w:t>
      </w:r>
      <w:r>
        <w:rPr>
          <w:rFonts w:ascii="Helvetica Neue" w:eastAsia="Helvetica Neue" w:hAnsi="Helvetica Neue" w:cs="Helvetica Neue"/>
        </w:rPr>
        <w:t xml:space="preserve">tra-human force. </w:t>
      </w:r>
    </w:p>
    <w:p w14:paraId="581DDC65" w14:textId="77777777" w:rsidR="00772C34" w:rsidRDefault="003C0965" w:rsidP="00B94EE2">
      <w:pPr>
        <w:numPr>
          <w:ilvl w:val="0"/>
          <w:numId w:val="6"/>
        </w:numPr>
        <w:spacing w:line="252" w:lineRule="auto"/>
      </w:pPr>
      <w:r>
        <w:rPr>
          <w:rFonts w:ascii="Helvetica Neue" w:eastAsia="Helvetica Neue" w:hAnsi="Helvetica Neue" w:cs="Helvetica Neue"/>
        </w:rPr>
        <w:t>Be conscious of the base time required for assembly and disassembly - the less time it takes, the less likely you are to get fed up and cut corners.</w:t>
      </w:r>
    </w:p>
    <w:p w14:paraId="0C9CEB28" w14:textId="77777777" w:rsidR="00772C34" w:rsidRDefault="003C0965" w:rsidP="00B94EE2">
      <w:pPr>
        <w:numPr>
          <w:ilvl w:val="0"/>
          <w:numId w:val="6"/>
        </w:numPr>
        <w:spacing w:line="252" w:lineRule="auto"/>
        <w:rPr>
          <w:rFonts w:ascii="Helvetica Neue" w:eastAsia="Helvetica Neue" w:hAnsi="Helvetica Neue" w:cs="Helvetica Neue"/>
        </w:rPr>
      </w:pPr>
      <w:r>
        <w:rPr>
          <w:rFonts w:ascii="Helvetica Neue" w:eastAsia="Helvetica Neue" w:hAnsi="Helvetica Neue" w:cs="Helvetica Neue"/>
        </w:rPr>
        <w:t>Rather than cutting materials to bespoke sizes, try to design for them to be used as a wh</w:t>
      </w:r>
      <w:r>
        <w:rPr>
          <w:rFonts w:ascii="Helvetica Neue" w:eastAsia="Helvetica Neue" w:hAnsi="Helvetica Neue" w:cs="Helvetica Neue"/>
        </w:rPr>
        <w:t>ole, or in full sheets, as standard sizes are easier to reuse.</w:t>
      </w:r>
    </w:p>
    <w:p w14:paraId="7AF6168C" w14:textId="77777777" w:rsidR="00772C34" w:rsidRDefault="00772C34">
      <w:pPr>
        <w:spacing w:line="252" w:lineRule="auto"/>
      </w:pPr>
    </w:p>
    <w:p w14:paraId="4DCC01D4" w14:textId="77777777" w:rsidR="00772C34" w:rsidRDefault="003C0965">
      <w:pPr>
        <w:spacing w:line="252" w:lineRule="auto"/>
        <w:rPr>
          <w:rFonts w:ascii="AKIRAEXPANDED-SUPERBOLD" w:eastAsia="AKIRAEXPANDED-SUPERBOLD" w:hAnsi="AKIRAEXPANDED-SUPERBOLD" w:cs="AKIRAEXPANDED-SUPERBOLD"/>
          <w:b/>
        </w:rPr>
      </w:pPr>
      <w:r>
        <w:rPr>
          <w:rFonts w:ascii="AKIRAEXPANDED-SUPERBOLD" w:eastAsia="AKIRAEXPANDED-SUPERBOLD" w:hAnsi="AKIRAEXPANDED-SUPERBOLD" w:cs="AKIRAEXPANDED-SUPERBOLD"/>
          <w:b/>
        </w:rPr>
        <w:t>Modular design</w:t>
      </w:r>
    </w:p>
    <w:p w14:paraId="266EFD5B" w14:textId="77777777" w:rsidR="00772C34" w:rsidRDefault="003C0965" w:rsidP="00B94EE2">
      <w:pPr>
        <w:spacing w:line="252" w:lineRule="auto"/>
        <w:rPr>
          <w:rFonts w:ascii="Helvetica Neue" w:eastAsia="Helvetica Neue" w:hAnsi="Helvetica Neue" w:cs="Helvetica Neue"/>
        </w:rPr>
      </w:pPr>
      <w:r>
        <w:rPr>
          <w:rFonts w:ascii="Helvetica Neue" w:eastAsia="Helvetica Neue" w:hAnsi="Helvetica Neue" w:cs="Helvetica Neue"/>
        </w:rPr>
        <w:t>Design staging and set pieces so they can be separated into smaller parts or modules, which can be disassembled in turn, rather than a single set piece.</w:t>
      </w:r>
    </w:p>
    <w:p w14:paraId="0AFA4FA6" w14:textId="77777777" w:rsidR="00772C34" w:rsidRDefault="00772C34">
      <w:pPr>
        <w:spacing w:line="252" w:lineRule="auto"/>
        <w:rPr>
          <w:b/>
        </w:rPr>
      </w:pPr>
    </w:p>
    <w:p w14:paraId="3FCE40A3" w14:textId="77777777" w:rsidR="00772C34" w:rsidRDefault="003C0965">
      <w:pPr>
        <w:spacing w:line="252" w:lineRule="auto"/>
        <w:rPr>
          <w:rFonts w:ascii="AKIRAEXPANDED-SUPERBOLD" w:eastAsia="AKIRAEXPANDED-SUPERBOLD" w:hAnsi="AKIRAEXPANDED-SUPERBOLD" w:cs="AKIRAEXPANDED-SUPERBOLD"/>
        </w:rPr>
      </w:pPr>
      <w:r>
        <w:rPr>
          <w:rFonts w:ascii="AKIRAEXPANDED-SUPERBOLD" w:eastAsia="AKIRAEXPANDED-SUPERBOLD" w:hAnsi="AKIRAEXPANDED-SUPERBOLD" w:cs="AKIRAEXPANDED-SUPERBOLD"/>
          <w:b/>
        </w:rPr>
        <w:t>Reversible fastenings</w:t>
      </w:r>
      <w:r>
        <w:rPr>
          <w:noProof/>
        </w:rPr>
        <w:drawing>
          <wp:anchor distT="0" distB="0" distL="0" distR="0" simplePos="0" relativeHeight="251659264" behindDoc="1" locked="0" layoutInCell="1" hidden="0" allowOverlap="1" wp14:anchorId="3C0692CA" wp14:editId="633A1A9C">
            <wp:simplePos x="0" y="0"/>
            <wp:positionH relativeFrom="column">
              <wp:posOffset>-1241830</wp:posOffset>
            </wp:positionH>
            <wp:positionV relativeFrom="paragraph">
              <wp:posOffset>8780780</wp:posOffset>
            </wp:positionV>
            <wp:extent cx="1253490" cy="1263243"/>
            <wp:effectExtent l="0" t="0" r="0" b="0"/>
            <wp:wrapNone/>
            <wp:docPr id="47" name="image1.png" descr="Shape, circ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Shape, circle&#10;&#10;Description automatically generated"/>
                    <pic:cNvPicPr preferRelativeResize="0"/>
                  </pic:nvPicPr>
                  <pic:blipFill>
                    <a:blip r:embed="rId8"/>
                    <a:srcRect/>
                    <a:stretch>
                      <a:fillRect/>
                    </a:stretch>
                  </pic:blipFill>
                  <pic:spPr>
                    <a:xfrm>
                      <a:off x="0" y="0"/>
                      <a:ext cx="1253490" cy="1263243"/>
                    </a:xfrm>
                    <a:prstGeom prst="rect">
                      <a:avLst/>
                    </a:prstGeom>
                    <a:ln/>
                  </pic:spPr>
                </pic:pic>
              </a:graphicData>
            </a:graphic>
          </wp:anchor>
        </w:drawing>
      </w:r>
      <w:r>
        <w:rPr>
          <w:noProof/>
        </w:rPr>
        <w:drawing>
          <wp:anchor distT="0" distB="0" distL="0" distR="0" simplePos="0" relativeHeight="251660288" behindDoc="1" locked="0" layoutInCell="1" hidden="0" allowOverlap="1" wp14:anchorId="471BBA99" wp14:editId="0DD256F4">
            <wp:simplePos x="0" y="0"/>
            <wp:positionH relativeFrom="column">
              <wp:posOffset>1448026</wp:posOffset>
            </wp:positionH>
            <wp:positionV relativeFrom="paragraph">
              <wp:posOffset>9223375</wp:posOffset>
            </wp:positionV>
            <wp:extent cx="1253490" cy="1263243"/>
            <wp:effectExtent l="0" t="0" r="0" b="0"/>
            <wp:wrapNone/>
            <wp:docPr id="48" name="image1.png" descr="Shape, circ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Shape, circle&#10;&#10;Description automatically generated"/>
                    <pic:cNvPicPr preferRelativeResize="0"/>
                  </pic:nvPicPr>
                  <pic:blipFill>
                    <a:blip r:embed="rId8"/>
                    <a:srcRect/>
                    <a:stretch>
                      <a:fillRect/>
                    </a:stretch>
                  </pic:blipFill>
                  <pic:spPr>
                    <a:xfrm>
                      <a:off x="0" y="0"/>
                      <a:ext cx="1253490" cy="1263243"/>
                    </a:xfrm>
                    <a:prstGeom prst="rect">
                      <a:avLst/>
                    </a:prstGeom>
                    <a:ln/>
                  </pic:spPr>
                </pic:pic>
              </a:graphicData>
            </a:graphic>
          </wp:anchor>
        </w:drawing>
      </w:r>
      <w:r>
        <w:rPr>
          <w:noProof/>
        </w:rPr>
        <w:drawing>
          <wp:anchor distT="0" distB="0" distL="0" distR="0" simplePos="0" relativeHeight="251661312" behindDoc="1" locked="0" layoutInCell="1" hidden="0" allowOverlap="1" wp14:anchorId="595E7A2C" wp14:editId="1881D848">
            <wp:simplePos x="0" y="0"/>
            <wp:positionH relativeFrom="column">
              <wp:posOffset>-1492655</wp:posOffset>
            </wp:positionH>
            <wp:positionV relativeFrom="paragraph">
              <wp:posOffset>5746115</wp:posOffset>
            </wp:positionV>
            <wp:extent cx="1253490" cy="1263243"/>
            <wp:effectExtent l="0" t="0" r="0" b="0"/>
            <wp:wrapNone/>
            <wp:docPr id="49" name="image1.png" descr="Shape, circ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Shape, circle&#10;&#10;Description automatically generated"/>
                    <pic:cNvPicPr preferRelativeResize="0"/>
                  </pic:nvPicPr>
                  <pic:blipFill>
                    <a:blip r:embed="rId8"/>
                    <a:srcRect/>
                    <a:stretch>
                      <a:fillRect/>
                    </a:stretch>
                  </pic:blipFill>
                  <pic:spPr>
                    <a:xfrm>
                      <a:off x="0" y="0"/>
                      <a:ext cx="1253490" cy="1263243"/>
                    </a:xfrm>
                    <a:prstGeom prst="rect">
                      <a:avLst/>
                    </a:prstGeom>
                    <a:ln/>
                  </pic:spPr>
                </pic:pic>
              </a:graphicData>
            </a:graphic>
          </wp:anchor>
        </w:drawing>
      </w:r>
      <w:r>
        <w:rPr>
          <w:noProof/>
        </w:rPr>
        <w:drawing>
          <wp:anchor distT="0" distB="0" distL="0" distR="0" simplePos="0" relativeHeight="251662336" behindDoc="1" locked="0" layoutInCell="1" hidden="0" allowOverlap="1" wp14:anchorId="48530405" wp14:editId="33CE00B2">
            <wp:simplePos x="0" y="0"/>
            <wp:positionH relativeFrom="column">
              <wp:posOffset>4221480</wp:posOffset>
            </wp:positionH>
            <wp:positionV relativeFrom="paragraph">
              <wp:posOffset>8780780</wp:posOffset>
            </wp:positionV>
            <wp:extent cx="1253490" cy="1263243"/>
            <wp:effectExtent l="0" t="0" r="0" b="0"/>
            <wp:wrapNone/>
            <wp:docPr id="50" name="image1.png" descr="Shape, circ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Shape, circle&#10;&#10;Description automatically generated"/>
                    <pic:cNvPicPr preferRelativeResize="0"/>
                  </pic:nvPicPr>
                  <pic:blipFill>
                    <a:blip r:embed="rId8"/>
                    <a:srcRect/>
                    <a:stretch>
                      <a:fillRect/>
                    </a:stretch>
                  </pic:blipFill>
                  <pic:spPr>
                    <a:xfrm>
                      <a:off x="0" y="0"/>
                      <a:ext cx="1253490" cy="1263243"/>
                    </a:xfrm>
                    <a:prstGeom prst="rect">
                      <a:avLst/>
                    </a:prstGeom>
                    <a:ln/>
                  </pic:spPr>
                </pic:pic>
              </a:graphicData>
            </a:graphic>
          </wp:anchor>
        </w:drawing>
      </w:r>
      <w:r>
        <w:rPr>
          <w:noProof/>
        </w:rPr>
        <w:drawing>
          <wp:anchor distT="0" distB="0" distL="0" distR="0" simplePos="0" relativeHeight="251663360" behindDoc="1" locked="0" layoutInCell="1" hidden="0" allowOverlap="1" wp14:anchorId="00FD6E15" wp14:editId="1574BEB3">
            <wp:simplePos x="0" y="0"/>
            <wp:positionH relativeFrom="column">
              <wp:posOffset>6469380</wp:posOffset>
            </wp:positionH>
            <wp:positionV relativeFrom="paragraph">
              <wp:posOffset>7281544</wp:posOffset>
            </wp:positionV>
            <wp:extent cx="1253490" cy="1263243"/>
            <wp:effectExtent l="0" t="0" r="0" b="0"/>
            <wp:wrapNone/>
            <wp:docPr id="51" name="image1.png" descr="Shape, circ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Shape, circle&#10;&#10;Description automatically generated"/>
                    <pic:cNvPicPr preferRelativeResize="0"/>
                  </pic:nvPicPr>
                  <pic:blipFill>
                    <a:blip r:embed="rId8"/>
                    <a:srcRect/>
                    <a:stretch>
                      <a:fillRect/>
                    </a:stretch>
                  </pic:blipFill>
                  <pic:spPr>
                    <a:xfrm>
                      <a:off x="0" y="0"/>
                      <a:ext cx="1253490" cy="1263243"/>
                    </a:xfrm>
                    <a:prstGeom prst="rect">
                      <a:avLst/>
                    </a:prstGeom>
                    <a:ln/>
                  </pic:spPr>
                </pic:pic>
              </a:graphicData>
            </a:graphic>
          </wp:anchor>
        </w:drawing>
      </w:r>
    </w:p>
    <w:p w14:paraId="669282EE" w14:textId="77777777" w:rsidR="00772C34" w:rsidRDefault="003C0965">
      <w:pPr>
        <w:spacing w:line="252" w:lineRule="auto"/>
        <w:rPr>
          <w:rFonts w:ascii="Helvetica Neue" w:eastAsia="Helvetica Neue" w:hAnsi="Helvetica Neue" w:cs="Helvetica Neue"/>
        </w:rPr>
      </w:pPr>
      <w:r>
        <w:rPr>
          <w:rFonts w:ascii="Helvetica Neue" w:eastAsia="Helvetica Neue" w:hAnsi="Helvetica Neue" w:cs="Helvetica Neue"/>
        </w:rPr>
        <w:t>These allow quick and intuitive disassembly accessible to a wider skill base.</w:t>
      </w:r>
    </w:p>
    <w:p w14:paraId="1DB5DCE0" w14:textId="77777777" w:rsidR="00772C34" w:rsidRDefault="003C0965" w:rsidP="00B94EE2">
      <w:pPr>
        <w:numPr>
          <w:ilvl w:val="0"/>
          <w:numId w:val="7"/>
        </w:numPr>
        <w:spacing w:line="252" w:lineRule="auto"/>
        <w:rPr>
          <w:rFonts w:ascii="Helvetica Neue" w:eastAsia="Helvetica Neue" w:hAnsi="Helvetica Neue" w:cs="Helvetica Neue"/>
        </w:rPr>
      </w:pPr>
      <w:r>
        <w:rPr>
          <w:rFonts w:ascii="Helvetica Neue" w:eastAsia="Helvetica Neue" w:hAnsi="Helvetica Neue" w:cs="Helvetica Neue"/>
        </w:rPr>
        <w:t xml:space="preserve">Where possible, always use reversible fastenings such as screws. Nails can also work, but aren’t as easily removed, and can result in damage to materials. </w:t>
      </w:r>
    </w:p>
    <w:p w14:paraId="64E72CE1" w14:textId="77777777" w:rsidR="00772C34" w:rsidRDefault="003C0965" w:rsidP="00B94EE2">
      <w:pPr>
        <w:numPr>
          <w:ilvl w:val="0"/>
          <w:numId w:val="7"/>
        </w:numPr>
        <w:spacing w:line="252" w:lineRule="auto"/>
        <w:rPr>
          <w:rFonts w:ascii="Helvetica Neue" w:eastAsia="Helvetica Neue" w:hAnsi="Helvetica Neue" w:cs="Helvetica Neue"/>
        </w:rPr>
      </w:pPr>
      <w:r>
        <w:rPr>
          <w:rFonts w:ascii="Helvetica Neue" w:eastAsia="Helvetica Neue" w:hAnsi="Helvetica Neue" w:cs="Helvetica Neue"/>
        </w:rPr>
        <w:t>Avoid staples, nail plates, strong adhesives, and spot-welding. If you have to use glues, use ones t</w:t>
      </w:r>
      <w:r>
        <w:rPr>
          <w:rFonts w:ascii="Helvetica Neue" w:eastAsia="Helvetica Neue" w:hAnsi="Helvetica Neue" w:cs="Helvetica Neue"/>
        </w:rPr>
        <w:t xml:space="preserve">hat are heat-reversible. </w:t>
      </w:r>
    </w:p>
    <w:p w14:paraId="13B193B9" w14:textId="77777777" w:rsidR="00772C34" w:rsidRDefault="003C0965" w:rsidP="00B94EE2">
      <w:pPr>
        <w:numPr>
          <w:ilvl w:val="0"/>
          <w:numId w:val="7"/>
        </w:numPr>
        <w:spacing w:line="252" w:lineRule="auto"/>
        <w:rPr>
          <w:rFonts w:ascii="Helvetica Neue" w:eastAsia="Helvetica Neue" w:hAnsi="Helvetica Neue" w:cs="Helvetica Neue"/>
        </w:rPr>
      </w:pPr>
      <w:r>
        <w:rPr>
          <w:rFonts w:ascii="Helvetica Neue" w:eastAsia="Helvetica Neue" w:hAnsi="Helvetica Neue" w:cs="Helvetica Neue"/>
        </w:rPr>
        <w:t xml:space="preserve">Avoid painting over fastenings, so they are not missed in the deconstruction phase, resulting in damage. </w:t>
      </w:r>
    </w:p>
    <w:p w14:paraId="1E7CEDD6" w14:textId="77777777" w:rsidR="00772C34" w:rsidRDefault="003C0965" w:rsidP="00B94EE2">
      <w:pPr>
        <w:numPr>
          <w:ilvl w:val="0"/>
          <w:numId w:val="7"/>
        </w:numPr>
        <w:spacing w:line="252" w:lineRule="auto"/>
        <w:rPr>
          <w:rFonts w:ascii="Helvetica Neue" w:eastAsia="Helvetica Neue" w:hAnsi="Helvetica Neue" w:cs="Helvetica Neue"/>
        </w:rPr>
      </w:pPr>
      <w:r>
        <w:rPr>
          <w:rFonts w:ascii="Helvetica Neue" w:eastAsia="Helvetica Neue" w:hAnsi="Helvetica Neue" w:cs="Helvetica Neue"/>
        </w:rPr>
        <w:t xml:space="preserve">Wherever possible, force should not be required to undo fastenings.  </w:t>
      </w:r>
    </w:p>
    <w:p w14:paraId="39BCE51D" w14:textId="77777777" w:rsidR="00772C34" w:rsidRDefault="00772C34">
      <w:pPr>
        <w:spacing w:line="252" w:lineRule="auto"/>
        <w:rPr>
          <w:b/>
        </w:rPr>
      </w:pPr>
    </w:p>
    <w:p w14:paraId="1EAE501F" w14:textId="77777777" w:rsidR="00772C34" w:rsidRDefault="003C0965">
      <w:pPr>
        <w:spacing w:line="252" w:lineRule="auto"/>
        <w:rPr>
          <w:rFonts w:ascii="AKIRAEXPANDED-SUPERBOLD" w:eastAsia="AKIRAEXPANDED-SUPERBOLD" w:hAnsi="AKIRAEXPANDED-SUPERBOLD" w:cs="AKIRAEXPANDED-SUPERBOLD"/>
          <w:b/>
        </w:rPr>
      </w:pPr>
      <w:r>
        <w:rPr>
          <w:rFonts w:ascii="AKIRAEXPANDED-SUPERBOLD" w:eastAsia="AKIRAEXPANDED-SUPERBOLD" w:hAnsi="AKIRAEXPANDED-SUPERBOLD" w:cs="AKIRAEXPANDED-SUPERBOLD"/>
          <w:b/>
        </w:rPr>
        <w:t>Clear instructions</w:t>
      </w:r>
    </w:p>
    <w:p w14:paraId="20446CC9" w14:textId="77777777" w:rsidR="00772C34" w:rsidRDefault="003C0965">
      <w:pPr>
        <w:spacing w:line="252" w:lineRule="auto"/>
        <w:rPr>
          <w:rFonts w:ascii="Helvetica Neue" w:eastAsia="Helvetica Neue" w:hAnsi="Helvetica Neue" w:cs="Helvetica Neue"/>
        </w:rPr>
      </w:pPr>
      <w:r>
        <w:rPr>
          <w:rFonts w:ascii="Helvetica Neue" w:eastAsia="Helvetica Neue" w:hAnsi="Helvetica Neue" w:cs="Helvetica Neue"/>
        </w:rPr>
        <w:t>Make it easy for anyone to underst</w:t>
      </w:r>
      <w:r>
        <w:rPr>
          <w:rFonts w:ascii="Helvetica Neue" w:eastAsia="Helvetica Neue" w:hAnsi="Helvetica Neue" w:cs="Helvetica Neue"/>
        </w:rPr>
        <w:t xml:space="preserve">and the assembly process. </w:t>
      </w:r>
    </w:p>
    <w:p w14:paraId="7C0E2558" w14:textId="77777777" w:rsidR="00772C34" w:rsidRDefault="003C0965" w:rsidP="00B94EE2">
      <w:pPr>
        <w:numPr>
          <w:ilvl w:val="0"/>
          <w:numId w:val="8"/>
        </w:numPr>
        <w:spacing w:line="252" w:lineRule="auto"/>
        <w:rPr>
          <w:rFonts w:ascii="Helvetica Neue" w:eastAsia="Helvetica Neue" w:hAnsi="Helvetica Neue" w:cs="Helvetica Neue"/>
        </w:rPr>
      </w:pPr>
      <w:r>
        <w:rPr>
          <w:rFonts w:ascii="Helvetica Neue" w:eastAsia="Helvetica Neue" w:hAnsi="Helvetica Neue" w:cs="Helvetica Neue"/>
        </w:rPr>
        <w:t>During construction, clearly label all parts, joins, and fastenings on the build.</w:t>
      </w:r>
    </w:p>
    <w:p w14:paraId="45BBA85D" w14:textId="77777777" w:rsidR="00772C34" w:rsidRDefault="003C0965" w:rsidP="00B94EE2">
      <w:pPr>
        <w:numPr>
          <w:ilvl w:val="0"/>
          <w:numId w:val="8"/>
        </w:numPr>
        <w:spacing w:line="252" w:lineRule="auto"/>
        <w:rPr>
          <w:rFonts w:ascii="Helvetica Neue" w:eastAsia="Helvetica Neue" w:hAnsi="Helvetica Neue" w:cs="Helvetica Neue"/>
        </w:rPr>
      </w:pPr>
      <w:r>
        <w:rPr>
          <w:rFonts w:ascii="Helvetica Neue" w:eastAsia="Helvetica Neue" w:hAnsi="Helvetica Neue" w:cs="Helvetica Neue"/>
        </w:rPr>
        <w:t>Create detailed instructions and drawings for how the set piece should be dismantled.</w:t>
      </w:r>
    </w:p>
    <w:p w14:paraId="4B36DA51" w14:textId="77777777" w:rsidR="00772C34" w:rsidRDefault="00772C34">
      <w:pPr>
        <w:spacing w:line="252" w:lineRule="auto"/>
        <w:rPr>
          <w:color w:val="000000"/>
        </w:rPr>
      </w:pPr>
    </w:p>
    <w:p w14:paraId="126229CC" w14:textId="77777777" w:rsidR="00772C34" w:rsidRPr="00B94EE2" w:rsidRDefault="003C0965" w:rsidP="00B94EE2">
      <w:pPr>
        <w:jc w:val="center"/>
        <w:rPr>
          <w:rFonts w:ascii="AKIRAEXPANDED-SUPERBOLD" w:eastAsia="AKIRAEXPANDED-SUPERBOLD" w:hAnsi="AKIRAEXPANDED-SUPERBOLD" w:cs="AKIRAEXPANDED-SUPERBOLD"/>
          <w:b/>
          <w:sz w:val="28"/>
          <w:szCs w:val="28"/>
        </w:rPr>
      </w:pPr>
      <w:r w:rsidRPr="00B94EE2">
        <w:rPr>
          <w:rFonts w:ascii="AKIRAEXPANDED-SUPERBOLD" w:eastAsia="AKIRAEXPANDED-SUPERBOLD" w:hAnsi="AKIRAEXPANDED-SUPERBOLD" w:cs="AKIRAEXPANDED-SUPERBOLD"/>
          <w:b/>
          <w:sz w:val="28"/>
          <w:szCs w:val="28"/>
        </w:rPr>
        <w:t>Get in touch</w:t>
      </w:r>
    </w:p>
    <w:p w14:paraId="59B3A809" w14:textId="77777777" w:rsidR="00B94EE2" w:rsidRDefault="003C0965" w:rsidP="00B94EE2">
      <w:pPr>
        <w:jc w:val="center"/>
        <w:rPr>
          <w:rFonts w:ascii="AKIRAEXPANDED-SUPERBOLD" w:eastAsia="AKIRAEXPANDED-SUPERBOLD" w:hAnsi="AKIRAEXPANDED-SUPERBOLD" w:cs="AKIRAEXPANDED-SUPERBOLD"/>
        </w:rPr>
      </w:pPr>
      <w:r w:rsidRPr="00B94EE2">
        <w:rPr>
          <w:rFonts w:ascii="AKIRAEXPANDED-SUPERBOLD" w:eastAsia="AKIRAEXPANDED-SUPERBOLD" w:hAnsi="AKIRAEXPANDED-SUPERBOLD" w:cs="AKIRAEXPANDED-SUPERBOLD"/>
        </w:rPr>
        <w:t>Website</w:t>
      </w:r>
    </w:p>
    <w:p w14:paraId="5AEA3ED0" w14:textId="63CE2E41" w:rsidR="00772C34" w:rsidRPr="00B94EE2" w:rsidRDefault="00B94EE2" w:rsidP="00B94EE2">
      <w:pPr>
        <w:jc w:val="center"/>
        <w:rPr>
          <w:rFonts w:ascii="AKIRAEXPANDED-SUPERBOLD" w:eastAsia="AKIRAEXPANDED-SUPERBOLD" w:hAnsi="AKIRAEXPANDED-SUPERBOLD" w:cs="AKIRAEXPANDED-SUPERBOLD"/>
        </w:rPr>
      </w:pPr>
      <w:hyperlink r:id="rId9" w:history="1">
        <w:r w:rsidRPr="009640F0">
          <w:rPr>
            <w:rStyle w:val="Hyperlink"/>
            <w:rFonts w:ascii="Helvetica Neue" w:eastAsia="Helvetica Neue" w:hAnsi="Helvetica Neue" w:cs="Helvetica Neue"/>
          </w:rPr>
          <w:t>https://sustainabletheatresaustralia.org/</w:t>
        </w:r>
      </w:hyperlink>
    </w:p>
    <w:p w14:paraId="6E635688" w14:textId="77777777" w:rsidR="00B94EE2" w:rsidRDefault="003C0965" w:rsidP="00B94EE2">
      <w:pPr>
        <w:jc w:val="center"/>
        <w:rPr>
          <w:rFonts w:ascii="AKIRAEXPANDED-SUPERBOLD" w:eastAsia="AKIRAEXPANDED-SUPERBOLD" w:hAnsi="AKIRAEXPANDED-SUPERBOLD" w:cs="AKIRAEXPANDED-SUPERBOLD"/>
        </w:rPr>
      </w:pPr>
      <w:r w:rsidRPr="00B94EE2">
        <w:rPr>
          <w:rFonts w:ascii="AKIRAEXPANDED-SUPERBOLD" w:eastAsia="AKIRAEXPANDED-SUPERBOLD" w:hAnsi="AKIRAEXPANDED-SUPERBOLD" w:cs="AKIRAEXPANDED-SUPERBOLD"/>
        </w:rPr>
        <w:t>Email</w:t>
      </w:r>
    </w:p>
    <w:p w14:paraId="6778AB3E" w14:textId="77D16AF9" w:rsidR="00772C34" w:rsidRDefault="00B94EE2" w:rsidP="00B94EE2">
      <w:pPr>
        <w:jc w:val="center"/>
        <w:rPr>
          <w:rFonts w:ascii="AKIRAEXPANDED-SUPERBOLD" w:eastAsia="AKIRAEXPANDED-SUPERBOLD" w:hAnsi="AKIRAEXPANDED-SUPERBOLD" w:cs="AKIRAEXPANDED-SUPERBOLD"/>
          <w:sz w:val="40"/>
          <w:szCs w:val="40"/>
        </w:rPr>
      </w:pPr>
      <w:hyperlink r:id="rId10" w:history="1">
        <w:r w:rsidRPr="009640F0">
          <w:rPr>
            <w:rStyle w:val="Hyperlink"/>
            <w:rFonts w:ascii="Helvetica Neue" w:eastAsia="Helvetica Neue" w:hAnsi="Helvetica Neue" w:cs="Helvetica Neue"/>
          </w:rPr>
          <w:t>https://sustainabletheatresaustralia.org/#:~:text=sustainable.the</w:t>
        </w:r>
        <w:r w:rsidRPr="009640F0">
          <w:rPr>
            <w:rStyle w:val="Hyperlink"/>
            <w:rFonts w:ascii="Helvetica Neue" w:eastAsia="Helvetica Neue" w:hAnsi="Helvetica Neue" w:cs="Helvetica Neue"/>
          </w:rPr>
          <w:t>a</w:t>
        </w:r>
        <w:r w:rsidRPr="009640F0">
          <w:rPr>
            <w:rStyle w:val="Hyperlink"/>
            <w:rFonts w:ascii="Helvetica Neue" w:eastAsia="Helvetica Neue" w:hAnsi="Helvetica Neue" w:cs="Helvetica Neue"/>
          </w:rPr>
          <w:t>tres.aus%40gmail.com</w:t>
        </w:r>
      </w:hyperlink>
    </w:p>
    <w:sectPr w:rsidR="00772C34" w:rsidSect="00B94EE2">
      <w:footerReference w:type="default" r:id="rId11"/>
      <w:pgSz w:w="11900" w:h="16840"/>
      <w:pgMar w:top="851" w:right="1134" w:bottom="602" w:left="1134" w:header="709" w:footer="2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D081F" w14:textId="77777777" w:rsidR="003C0965" w:rsidRDefault="003C0965">
      <w:r>
        <w:separator/>
      </w:r>
    </w:p>
  </w:endnote>
  <w:endnote w:type="continuationSeparator" w:id="0">
    <w:p w14:paraId="7F2233B4" w14:textId="77777777" w:rsidR="003C0965" w:rsidRDefault="003C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KIRAEXPANDED-SUPERBOLD">
    <w:panose1 w:val="02000800000000000000"/>
    <w:charset w:val="00"/>
    <w:family w:val="auto"/>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605E" w14:textId="1DC0A811" w:rsidR="00772C34" w:rsidRDefault="003C0965">
    <w:pPr>
      <w:spacing w:line="252" w:lineRule="auto"/>
      <w:rPr>
        <w:b/>
        <w:sz w:val="20"/>
        <w:szCs w:val="20"/>
      </w:rPr>
    </w:pPr>
    <w:r>
      <w:rPr>
        <w:b/>
        <w:sz w:val="20"/>
        <w:szCs w:val="20"/>
      </w:rPr>
      <w:t>Sources</w:t>
    </w:r>
  </w:p>
  <w:p w14:paraId="7C69AD11" w14:textId="77777777" w:rsidR="00772C34" w:rsidRDefault="003C0965" w:rsidP="00B94EE2">
    <w:pPr>
      <w:spacing w:line="252" w:lineRule="auto"/>
      <w:ind w:left="284" w:hanging="284"/>
      <w:rPr>
        <w:sz w:val="20"/>
        <w:szCs w:val="20"/>
      </w:rPr>
    </w:pPr>
    <w:proofErr w:type="spellStart"/>
    <w:r>
      <w:rPr>
        <w:sz w:val="20"/>
        <w:szCs w:val="20"/>
      </w:rPr>
      <w:t>Buro</w:t>
    </w:r>
    <w:proofErr w:type="spellEnd"/>
    <w:r>
      <w:rPr>
        <w:sz w:val="20"/>
        <w:szCs w:val="20"/>
      </w:rPr>
      <w:t xml:space="preserve"> Happold (2021). “The Theatre Green Book Part 1: Sustainable Productions”</w:t>
    </w:r>
    <w:r>
      <w:rPr>
        <w:i/>
        <w:sz w:val="20"/>
        <w:szCs w:val="20"/>
      </w:rPr>
      <w:t>.</w:t>
    </w:r>
    <w:r>
      <w:rPr>
        <w:sz w:val="20"/>
        <w:szCs w:val="20"/>
      </w:rPr>
      <w:t xml:space="preserve"> London: </w:t>
    </w:r>
    <w:proofErr w:type="spellStart"/>
    <w:r>
      <w:rPr>
        <w:sz w:val="20"/>
        <w:szCs w:val="20"/>
      </w:rPr>
      <w:t>Buro</w:t>
    </w:r>
    <w:proofErr w:type="spellEnd"/>
    <w:r>
      <w:rPr>
        <w:sz w:val="20"/>
        <w:szCs w:val="20"/>
      </w:rPr>
      <w:t xml:space="preserve"> Happold &amp; Renew Theatre. Accessed 5/2/22. URL: </w:t>
    </w:r>
    <w:hyperlink r:id="rId1">
      <w:r>
        <w:rPr>
          <w:color w:val="1155CC"/>
          <w:sz w:val="20"/>
          <w:szCs w:val="20"/>
          <w:u w:val="single"/>
        </w:rPr>
        <w:t>https://theatregreenbook.com/book-one-sustainable-productions/</w:t>
      </w:r>
    </w:hyperlink>
    <w:r>
      <w:rPr>
        <w:sz w:val="20"/>
        <w:szCs w:val="20"/>
      </w:rPr>
      <w:t xml:space="preserve"> </w:t>
    </w:r>
  </w:p>
  <w:p w14:paraId="7D216AD8" w14:textId="77777777" w:rsidR="00772C34" w:rsidRDefault="003C0965" w:rsidP="00B94EE2">
    <w:pPr>
      <w:spacing w:line="252" w:lineRule="auto"/>
      <w:ind w:left="284" w:hanging="284"/>
      <w:rPr>
        <w:sz w:val="20"/>
        <w:szCs w:val="20"/>
      </w:rPr>
    </w:pPr>
    <w:r>
      <w:rPr>
        <w:sz w:val="20"/>
        <w:szCs w:val="20"/>
      </w:rPr>
      <w:t xml:space="preserve">Autodesk Sustainability Workshop (2015). “How to </w:t>
    </w:r>
    <w:r>
      <w:rPr>
        <w:sz w:val="20"/>
        <w:szCs w:val="20"/>
      </w:rPr>
      <w:t xml:space="preserve">Design for Disassembly and Recycling” [Video]. </w:t>
    </w:r>
    <w:proofErr w:type="spellStart"/>
    <w:r>
      <w:rPr>
        <w:sz w:val="20"/>
        <w:szCs w:val="20"/>
      </w:rPr>
      <w:t>Youtube</w:t>
    </w:r>
    <w:proofErr w:type="spellEnd"/>
    <w:r>
      <w:rPr>
        <w:sz w:val="20"/>
        <w:szCs w:val="20"/>
      </w:rPr>
      <w:t xml:space="preserve">. Accessed 5/2/22. URL: </w:t>
    </w:r>
    <w:hyperlink r:id="rId2">
      <w:r>
        <w:rPr>
          <w:color w:val="1155CC"/>
          <w:sz w:val="20"/>
          <w:szCs w:val="20"/>
          <w:u w:val="single"/>
        </w:rPr>
        <w:t>https://www.youtube.com/watch?v=vcFRvuOnWQ8</w:t>
      </w:r>
    </w:hyperlink>
  </w:p>
  <w:p w14:paraId="060CE279" w14:textId="77777777" w:rsidR="00772C34" w:rsidRDefault="003C0965" w:rsidP="00B94EE2">
    <w:pPr>
      <w:spacing w:line="252" w:lineRule="auto"/>
      <w:ind w:left="284" w:hanging="284"/>
      <w:rPr>
        <w:rFonts w:ascii="Helvetica Neue" w:eastAsia="Helvetica Neue" w:hAnsi="Helvetica Neue" w:cs="Helvetica Neue"/>
        <w:sz w:val="20"/>
        <w:szCs w:val="20"/>
      </w:rPr>
    </w:pPr>
    <w:r>
      <w:rPr>
        <w:sz w:val="20"/>
        <w:szCs w:val="20"/>
      </w:rPr>
      <w:t>Julie’s Bicycle (2013). “Sustainable Production Guide”. London: Julie’s</w:t>
    </w:r>
    <w:r>
      <w:rPr>
        <w:sz w:val="20"/>
        <w:szCs w:val="20"/>
      </w:rPr>
      <w:t xml:space="preserve"> Bicycle. Accessed 11/2/22. </w:t>
    </w:r>
    <w:hyperlink r:id="rId3">
      <w:r>
        <w:rPr>
          <w:color w:val="1155CC"/>
          <w:sz w:val="20"/>
          <w:szCs w:val="20"/>
          <w:u w:val="single"/>
        </w:rPr>
        <w:t>https://juliesbicycle.com/wp-content/uploads/2019/11/Sustainable_Production_Guide_2013.pdf</w:t>
      </w:r>
    </w:hyperlink>
    <w:r>
      <w:rPr>
        <w:sz w:val="20"/>
        <w:szCs w:val="20"/>
      </w:rPr>
      <w:t xml:space="preserve"> </w:t>
    </w:r>
  </w:p>
  <w:p w14:paraId="3758F521" w14:textId="77777777" w:rsidR="00772C34" w:rsidRDefault="00772C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277A0" w14:textId="77777777" w:rsidR="003C0965" w:rsidRDefault="003C0965">
      <w:r>
        <w:separator/>
      </w:r>
    </w:p>
  </w:footnote>
  <w:footnote w:type="continuationSeparator" w:id="0">
    <w:p w14:paraId="6492B9A0" w14:textId="77777777" w:rsidR="003C0965" w:rsidRDefault="003C0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2F8"/>
    <w:multiLevelType w:val="multilevel"/>
    <w:tmpl w:val="794CF4D6"/>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4C320F"/>
    <w:multiLevelType w:val="multilevel"/>
    <w:tmpl w:val="50508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43415B"/>
    <w:multiLevelType w:val="multilevel"/>
    <w:tmpl w:val="F998F080"/>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C53657"/>
    <w:multiLevelType w:val="multilevel"/>
    <w:tmpl w:val="BCCEB33E"/>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FB7DC1"/>
    <w:multiLevelType w:val="multilevel"/>
    <w:tmpl w:val="61EAC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3B2BFD"/>
    <w:multiLevelType w:val="multilevel"/>
    <w:tmpl w:val="6E728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1B1909"/>
    <w:multiLevelType w:val="multilevel"/>
    <w:tmpl w:val="44C82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AE23D6"/>
    <w:multiLevelType w:val="multilevel"/>
    <w:tmpl w:val="09DCB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6"/>
  </w:num>
  <w:num w:numId="4">
    <w:abstractNumId w:val="1"/>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C34"/>
    <w:rsid w:val="003C0965"/>
    <w:rsid w:val="00772C34"/>
    <w:rsid w:val="00B94E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D65615D"/>
  <w15:docId w15:val="{987ADF2F-8B94-6947-A64E-0D512E4F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92323"/>
    <w:rPr>
      <w:color w:val="0563C1" w:themeColor="hyperlink"/>
      <w:u w:val="single"/>
    </w:rPr>
  </w:style>
  <w:style w:type="character" w:styleId="UnresolvedMention">
    <w:name w:val="Unresolved Mention"/>
    <w:basedOn w:val="DefaultParagraphFont"/>
    <w:uiPriority w:val="99"/>
    <w:semiHidden/>
    <w:unhideWhenUsed/>
    <w:rsid w:val="00892323"/>
    <w:rPr>
      <w:color w:val="605E5C"/>
      <w:shd w:val="clear" w:color="auto" w:fill="E1DFDD"/>
    </w:rPr>
  </w:style>
  <w:style w:type="paragraph" w:styleId="ListParagraph">
    <w:name w:val="List Paragraph"/>
    <w:basedOn w:val="Normal"/>
    <w:uiPriority w:val="34"/>
    <w:qFormat/>
    <w:rsid w:val="0089232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C20F75"/>
    <w:rPr>
      <w:color w:val="954F72" w:themeColor="followedHyperlink"/>
      <w:u w:val="single"/>
    </w:rPr>
  </w:style>
  <w:style w:type="paragraph" w:styleId="Header">
    <w:name w:val="header"/>
    <w:basedOn w:val="Normal"/>
    <w:link w:val="HeaderChar"/>
    <w:uiPriority w:val="99"/>
    <w:unhideWhenUsed/>
    <w:rsid w:val="00B94EE2"/>
    <w:pPr>
      <w:tabs>
        <w:tab w:val="center" w:pos="4513"/>
        <w:tab w:val="right" w:pos="9026"/>
      </w:tabs>
    </w:pPr>
  </w:style>
  <w:style w:type="character" w:customStyle="1" w:styleId="HeaderChar">
    <w:name w:val="Header Char"/>
    <w:basedOn w:val="DefaultParagraphFont"/>
    <w:link w:val="Header"/>
    <w:uiPriority w:val="99"/>
    <w:rsid w:val="00B94EE2"/>
  </w:style>
  <w:style w:type="paragraph" w:styleId="Footer">
    <w:name w:val="footer"/>
    <w:basedOn w:val="Normal"/>
    <w:link w:val="FooterChar"/>
    <w:uiPriority w:val="99"/>
    <w:unhideWhenUsed/>
    <w:rsid w:val="00B94EE2"/>
    <w:pPr>
      <w:tabs>
        <w:tab w:val="center" w:pos="4513"/>
        <w:tab w:val="right" w:pos="9026"/>
      </w:tabs>
    </w:pPr>
  </w:style>
  <w:style w:type="character" w:customStyle="1" w:styleId="FooterChar">
    <w:name w:val="Footer Char"/>
    <w:basedOn w:val="DefaultParagraphFont"/>
    <w:link w:val="Footer"/>
    <w:uiPriority w:val="99"/>
    <w:rsid w:val="00B94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ustainabletheatresaustralia.org/#:~:text=sustainable.theatres.aus%40gmail.com" TargetMode="External"/><Relationship Id="rId4" Type="http://schemas.openxmlformats.org/officeDocument/2006/relationships/settings" Target="settings.xml"/><Relationship Id="rId9" Type="http://schemas.openxmlformats.org/officeDocument/2006/relationships/hyperlink" Target="https://sustainabletheatresaustralia.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juliesbicycle.com/wp-content/uploads/2019/11/Sustainable_Production_Guide_2013.pdf" TargetMode="External"/><Relationship Id="rId2" Type="http://schemas.openxmlformats.org/officeDocument/2006/relationships/hyperlink" Target="https://www.youtube.com/watch?v=vcFRvuOnWQ8" TargetMode="External"/><Relationship Id="rId1" Type="http://schemas.openxmlformats.org/officeDocument/2006/relationships/hyperlink" Target="https://theatregreenbook.com/book-one-sustainable-prod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nCjXwGLTlJ4OmIgN6cACicQ04Q==">AMUW2mUFR5L5yAh2RTXuET+TGNpwZHBAmgchYAqD9b2N7mNRdDcT441yZxKrLf07CXkAj6L+mcw11l6SCenk/wmayfXuObP4LIRhzDpt16HiN+c2h6H8pK8=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 Collins</dc:creator>
  <cp:lastModifiedBy>Christian Taylor</cp:lastModifiedBy>
  <cp:revision>2</cp:revision>
  <dcterms:created xsi:type="dcterms:W3CDTF">2021-10-06T11:41:00Z</dcterms:created>
  <dcterms:modified xsi:type="dcterms:W3CDTF">2022-02-18T05:45:00Z</dcterms:modified>
</cp:coreProperties>
</file>